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F316" w14:textId="66CE0B0F" w:rsidR="00024F5F" w:rsidRPr="0022065F" w:rsidRDefault="00415A8B" w:rsidP="00024F5F">
      <w:pPr>
        <w:contextualSpacing/>
        <w:rPr>
          <w:noProof/>
          <w:lang w:val="en-GB" w:eastAsia="en-GB"/>
        </w:rPr>
      </w:pPr>
      <w:r>
        <w:rPr>
          <w:noProof/>
        </w:rPr>
        <w:drawing>
          <wp:anchor distT="0" distB="0" distL="114300" distR="114300" simplePos="0" relativeHeight="251659264" behindDoc="0" locked="0" layoutInCell="1" allowOverlap="1" wp14:anchorId="7E95A293" wp14:editId="47B2A7E3">
            <wp:simplePos x="0" y="0"/>
            <wp:positionH relativeFrom="margin">
              <wp:align>center</wp:align>
            </wp:positionH>
            <wp:positionV relativeFrom="paragraph">
              <wp:posOffset>117475</wp:posOffset>
            </wp:positionV>
            <wp:extent cx="978535" cy="869315"/>
            <wp:effectExtent l="0" t="0" r="0" b="6985"/>
            <wp:wrapNone/>
            <wp:docPr id="6" name="Picture 6" descr="A blue shield with two cheetahs and a white sta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blue shield with two cheetahs and a white star&#10;&#10;Description automatically generated"/>
                    <pic:cNvPicPr>
                      <a:picLocks/>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97853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48DA6" w14:textId="013B9BA0" w:rsidR="00024F5F" w:rsidRPr="0022065F" w:rsidRDefault="00024F5F" w:rsidP="00024F5F">
      <w:pPr>
        <w:contextualSpacing/>
        <w:rPr>
          <w:noProof/>
          <w:lang w:val="en-GB" w:eastAsia="en-GB"/>
        </w:rPr>
      </w:pPr>
    </w:p>
    <w:p w14:paraId="1CCB0069" w14:textId="77777777" w:rsidR="00024F5F" w:rsidRPr="0022065F" w:rsidRDefault="00024F5F" w:rsidP="00024F5F">
      <w:pPr>
        <w:contextualSpacing/>
        <w:rPr>
          <w:noProof/>
          <w:lang w:val="en-GB" w:eastAsia="en-GB"/>
        </w:rPr>
      </w:pPr>
    </w:p>
    <w:p w14:paraId="32DB6D39" w14:textId="77777777" w:rsidR="00024F5F" w:rsidRPr="0022065F" w:rsidRDefault="00024F5F" w:rsidP="00024F5F">
      <w:pPr>
        <w:contextualSpacing/>
        <w:rPr>
          <w:noProof/>
          <w:lang w:val="en-GB" w:eastAsia="en-GB"/>
        </w:rPr>
      </w:pPr>
    </w:p>
    <w:p w14:paraId="26F9FC93" w14:textId="77777777" w:rsidR="00024F5F" w:rsidRPr="0022065F" w:rsidRDefault="00024F5F" w:rsidP="00024F5F">
      <w:pPr>
        <w:contextualSpacing/>
        <w:rPr>
          <w:noProof/>
          <w:lang w:val="en-GB" w:eastAsia="en-GB"/>
        </w:rPr>
      </w:pPr>
    </w:p>
    <w:p w14:paraId="4E2D9B37" w14:textId="363C2139" w:rsidR="00024F5F" w:rsidRPr="0022065F" w:rsidRDefault="00024F5F" w:rsidP="008A37B0">
      <w:pPr>
        <w:contextualSpacing/>
        <w:rPr>
          <w:b/>
        </w:rPr>
      </w:pPr>
    </w:p>
    <w:p w14:paraId="42E8AD94" w14:textId="0396E17D" w:rsidR="00552F8F" w:rsidRPr="008A37B0" w:rsidRDefault="008A37B0" w:rsidP="008A37B0">
      <w:pPr>
        <w:spacing w:before="120" w:line="276" w:lineRule="auto"/>
        <w:jc w:val="center"/>
        <w:rPr>
          <w:b/>
          <w:bCs/>
          <w:sz w:val="22"/>
          <w:szCs w:val="22"/>
        </w:rPr>
      </w:pPr>
      <w:r w:rsidRPr="008A37B0">
        <w:rPr>
          <w:b/>
          <w:bCs/>
          <w:sz w:val="22"/>
          <w:szCs w:val="22"/>
        </w:rPr>
        <w:t>TERMS OF REFERENCE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5"/>
        <w:gridCol w:w="6255"/>
      </w:tblGrid>
      <w:tr w:rsidR="00552F8F" w14:paraId="76B396DA" w14:textId="77777777" w:rsidTr="00552F8F">
        <w:trPr>
          <w:trHeight w:val="325"/>
        </w:trPr>
        <w:tc>
          <w:tcPr>
            <w:tcW w:w="1655" w:type="pct"/>
            <w:tcBorders>
              <w:top w:val="dotted" w:sz="4" w:space="0" w:color="auto"/>
              <w:left w:val="dotted" w:sz="4" w:space="0" w:color="auto"/>
              <w:bottom w:val="dotted" w:sz="4" w:space="0" w:color="auto"/>
              <w:right w:val="dotted" w:sz="4" w:space="0" w:color="auto"/>
            </w:tcBorders>
            <w:hideMark/>
          </w:tcPr>
          <w:p w14:paraId="7357EACB" w14:textId="77777777" w:rsidR="00552F8F" w:rsidRDefault="00552F8F">
            <w:pPr>
              <w:spacing w:line="276" w:lineRule="auto"/>
              <w:rPr>
                <w:b/>
              </w:rPr>
            </w:pPr>
            <w:r>
              <w:rPr>
                <w:b/>
              </w:rPr>
              <w:t>Country:</w:t>
            </w:r>
          </w:p>
        </w:tc>
        <w:tc>
          <w:tcPr>
            <w:tcW w:w="3345" w:type="pct"/>
            <w:tcBorders>
              <w:top w:val="dotted" w:sz="4" w:space="0" w:color="auto"/>
              <w:left w:val="dotted" w:sz="4" w:space="0" w:color="auto"/>
              <w:bottom w:val="dotted" w:sz="4" w:space="0" w:color="auto"/>
              <w:right w:val="dotted" w:sz="4" w:space="0" w:color="auto"/>
            </w:tcBorders>
            <w:hideMark/>
          </w:tcPr>
          <w:p w14:paraId="0ED75A65" w14:textId="77777777" w:rsidR="00552F8F" w:rsidRDefault="00552F8F">
            <w:pPr>
              <w:spacing w:line="276" w:lineRule="auto"/>
              <w:rPr>
                <w:bCs/>
              </w:rPr>
            </w:pPr>
            <w:r>
              <w:rPr>
                <w:bCs/>
              </w:rPr>
              <w:t>Federal Republic of Somalia</w:t>
            </w:r>
          </w:p>
        </w:tc>
      </w:tr>
      <w:tr w:rsidR="00552F8F" w14:paraId="2FF4A3ED" w14:textId="77777777" w:rsidTr="00552F8F">
        <w:trPr>
          <w:trHeight w:val="332"/>
        </w:trPr>
        <w:tc>
          <w:tcPr>
            <w:tcW w:w="1655" w:type="pct"/>
            <w:tcBorders>
              <w:top w:val="dotted" w:sz="4" w:space="0" w:color="auto"/>
              <w:left w:val="dotted" w:sz="4" w:space="0" w:color="auto"/>
              <w:bottom w:val="dotted" w:sz="4" w:space="0" w:color="auto"/>
              <w:right w:val="dotted" w:sz="4" w:space="0" w:color="auto"/>
            </w:tcBorders>
            <w:hideMark/>
          </w:tcPr>
          <w:p w14:paraId="62AF11F1" w14:textId="77777777" w:rsidR="00552F8F" w:rsidRDefault="00552F8F">
            <w:pPr>
              <w:spacing w:line="276" w:lineRule="auto"/>
              <w:rPr>
                <w:b/>
              </w:rPr>
            </w:pPr>
            <w:r>
              <w:rPr>
                <w:b/>
              </w:rPr>
              <w:t>Name of Project:</w:t>
            </w:r>
          </w:p>
        </w:tc>
        <w:tc>
          <w:tcPr>
            <w:tcW w:w="3345" w:type="pct"/>
            <w:tcBorders>
              <w:top w:val="dotted" w:sz="4" w:space="0" w:color="auto"/>
              <w:left w:val="dotted" w:sz="4" w:space="0" w:color="auto"/>
              <w:bottom w:val="dotted" w:sz="4" w:space="0" w:color="auto"/>
              <w:right w:val="dotted" w:sz="4" w:space="0" w:color="auto"/>
            </w:tcBorders>
            <w:hideMark/>
          </w:tcPr>
          <w:p w14:paraId="7150485A" w14:textId="5A68B8F7" w:rsidR="00552F8F" w:rsidRPr="00594CF1" w:rsidRDefault="00552F8F" w:rsidP="00051EBE">
            <w:pPr>
              <w:jc w:val="both"/>
              <w:rPr>
                <w:bCs/>
              </w:rPr>
            </w:pPr>
            <w:r w:rsidRPr="00594CF1">
              <w:rPr>
                <w:bCs/>
              </w:rPr>
              <w:t>Somali Electricity Sector Recovery Project (SESRP)</w:t>
            </w:r>
            <w:r w:rsidR="006C0D58" w:rsidRPr="00594CF1">
              <w:rPr>
                <w:bCs/>
              </w:rPr>
              <w:t xml:space="preserve"> </w:t>
            </w:r>
            <w:r w:rsidR="0083571D" w:rsidRPr="00594CF1">
              <w:rPr>
                <w:bCs/>
              </w:rPr>
              <w:t>and Accelerating</w:t>
            </w:r>
            <w:r w:rsidR="00356D32" w:rsidRPr="00594CF1">
              <w:rPr>
                <w:bCs/>
              </w:rPr>
              <w:t xml:space="preserve"> Sustainable and Clean Energy Access Transformation (ASCENT) </w:t>
            </w:r>
          </w:p>
        </w:tc>
      </w:tr>
      <w:tr w:rsidR="00552F8F" w14:paraId="4A06E53D" w14:textId="77777777" w:rsidTr="00051EBE">
        <w:trPr>
          <w:trHeight w:val="325"/>
        </w:trPr>
        <w:tc>
          <w:tcPr>
            <w:tcW w:w="1655" w:type="pct"/>
            <w:tcBorders>
              <w:top w:val="dotted" w:sz="4" w:space="0" w:color="auto"/>
              <w:left w:val="dotted" w:sz="4" w:space="0" w:color="auto"/>
              <w:bottom w:val="dotted" w:sz="4" w:space="0" w:color="auto"/>
              <w:right w:val="dotted" w:sz="4" w:space="0" w:color="auto"/>
            </w:tcBorders>
            <w:shd w:val="clear" w:color="auto" w:fill="auto"/>
            <w:hideMark/>
          </w:tcPr>
          <w:p w14:paraId="57417F0E" w14:textId="77777777" w:rsidR="00552F8F" w:rsidRPr="00051EBE" w:rsidRDefault="00552F8F">
            <w:pPr>
              <w:spacing w:line="276" w:lineRule="auto"/>
              <w:rPr>
                <w:b/>
              </w:rPr>
            </w:pPr>
            <w:r w:rsidRPr="00051EBE">
              <w:rPr>
                <w:b/>
              </w:rPr>
              <w:t>Project ID:</w:t>
            </w:r>
          </w:p>
        </w:tc>
        <w:tc>
          <w:tcPr>
            <w:tcW w:w="3345" w:type="pct"/>
            <w:tcBorders>
              <w:top w:val="dotted" w:sz="4" w:space="0" w:color="auto"/>
              <w:left w:val="dotted" w:sz="4" w:space="0" w:color="auto"/>
              <w:bottom w:val="dotted" w:sz="4" w:space="0" w:color="auto"/>
              <w:right w:val="dotted" w:sz="4" w:space="0" w:color="auto"/>
            </w:tcBorders>
            <w:shd w:val="clear" w:color="auto" w:fill="auto"/>
            <w:hideMark/>
          </w:tcPr>
          <w:p w14:paraId="06B432A0" w14:textId="5730003D" w:rsidR="00552F8F" w:rsidRPr="00051EBE" w:rsidRDefault="00552F8F" w:rsidP="00107B9F">
            <w:pPr>
              <w:jc w:val="both"/>
              <w:rPr>
                <w:bCs/>
              </w:rPr>
            </w:pPr>
            <w:r w:rsidRPr="00051EBE">
              <w:rPr>
                <w:bCs/>
              </w:rPr>
              <w:t xml:space="preserve">P173088 </w:t>
            </w:r>
            <w:r w:rsidR="00356D32">
              <w:rPr>
                <w:bCs/>
              </w:rPr>
              <w:t xml:space="preserve">&amp; </w:t>
            </w:r>
            <w:r w:rsidR="00356D32" w:rsidRPr="00852C76">
              <w:rPr>
                <w:bCs/>
              </w:rPr>
              <w:t>P181341</w:t>
            </w:r>
          </w:p>
        </w:tc>
      </w:tr>
      <w:tr w:rsidR="00552F8F" w14:paraId="64EEC682" w14:textId="77777777" w:rsidTr="00552F8F">
        <w:trPr>
          <w:trHeight w:val="241"/>
        </w:trPr>
        <w:tc>
          <w:tcPr>
            <w:tcW w:w="1655" w:type="pct"/>
            <w:tcBorders>
              <w:top w:val="dotted" w:sz="4" w:space="0" w:color="auto"/>
              <w:left w:val="dotted" w:sz="4" w:space="0" w:color="auto"/>
              <w:bottom w:val="dotted" w:sz="4" w:space="0" w:color="auto"/>
              <w:right w:val="dotted" w:sz="4" w:space="0" w:color="auto"/>
            </w:tcBorders>
            <w:hideMark/>
          </w:tcPr>
          <w:p w14:paraId="05952915" w14:textId="77777777" w:rsidR="00552F8F" w:rsidRDefault="00552F8F">
            <w:pPr>
              <w:spacing w:line="276" w:lineRule="auto"/>
              <w:rPr>
                <w:b/>
              </w:rPr>
            </w:pPr>
            <w:r>
              <w:rPr>
                <w:b/>
              </w:rPr>
              <w:t>Assignment Title:</w:t>
            </w:r>
          </w:p>
        </w:tc>
        <w:tc>
          <w:tcPr>
            <w:tcW w:w="3345" w:type="pct"/>
            <w:tcBorders>
              <w:top w:val="dotted" w:sz="4" w:space="0" w:color="auto"/>
              <w:left w:val="dotted" w:sz="4" w:space="0" w:color="auto"/>
              <w:bottom w:val="dotted" w:sz="4" w:space="0" w:color="auto"/>
              <w:right w:val="dotted" w:sz="4" w:space="0" w:color="auto"/>
            </w:tcBorders>
            <w:hideMark/>
          </w:tcPr>
          <w:p w14:paraId="4655CEE3" w14:textId="718B27AA" w:rsidR="00552F8F" w:rsidRDefault="00051EBE">
            <w:pPr>
              <w:jc w:val="both"/>
              <w:rPr>
                <w:bCs/>
              </w:rPr>
            </w:pPr>
            <w:r>
              <w:rPr>
                <w:bCs/>
              </w:rPr>
              <w:t xml:space="preserve">Preparation of </w:t>
            </w:r>
            <w:r w:rsidR="00552F8F" w:rsidRPr="00552F8F">
              <w:rPr>
                <w:bCs/>
              </w:rPr>
              <w:t xml:space="preserve">Strategic Environmental and Social Assessment (SESA) </w:t>
            </w:r>
            <w:r>
              <w:rPr>
                <w:bCs/>
              </w:rPr>
              <w:t xml:space="preserve">in </w:t>
            </w:r>
            <w:r w:rsidR="00552F8F" w:rsidRPr="00552F8F">
              <w:rPr>
                <w:bCs/>
              </w:rPr>
              <w:t xml:space="preserve">the Electricity Sector </w:t>
            </w:r>
            <w:r w:rsidR="00F813AE">
              <w:rPr>
                <w:bCs/>
              </w:rPr>
              <w:t>of</w:t>
            </w:r>
            <w:r w:rsidR="00552F8F" w:rsidRPr="00552F8F">
              <w:rPr>
                <w:bCs/>
              </w:rPr>
              <w:t xml:space="preserve"> Somalia</w:t>
            </w:r>
          </w:p>
        </w:tc>
      </w:tr>
      <w:tr w:rsidR="00552F8F" w14:paraId="316DD266" w14:textId="77777777" w:rsidTr="00552F8F">
        <w:trPr>
          <w:trHeight w:val="325"/>
        </w:trPr>
        <w:tc>
          <w:tcPr>
            <w:tcW w:w="1655" w:type="pct"/>
            <w:tcBorders>
              <w:top w:val="dotted" w:sz="4" w:space="0" w:color="auto"/>
              <w:left w:val="dotted" w:sz="4" w:space="0" w:color="auto"/>
              <w:bottom w:val="dotted" w:sz="4" w:space="0" w:color="auto"/>
              <w:right w:val="dotted" w:sz="4" w:space="0" w:color="auto"/>
            </w:tcBorders>
            <w:hideMark/>
          </w:tcPr>
          <w:p w14:paraId="37426695" w14:textId="77777777" w:rsidR="00552F8F" w:rsidRDefault="00552F8F">
            <w:pPr>
              <w:spacing w:line="276" w:lineRule="auto"/>
              <w:rPr>
                <w:b/>
              </w:rPr>
            </w:pPr>
            <w:r>
              <w:rPr>
                <w:b/>
              </w:rPr>
              <w:t>Type of Appointment:</w:t>
            </w:r>
          </w:p>
        </w:tc>
        <w:tc>
          <w:tcPr>
            <w:tcW w:w="3345" w:type="pct"/>
            <w:tcBorders>
              <w:top w:val="dotted" w:sz="4" w:space="0" w:color="auto"/>
              <w:left w:val="dotted" w:sz="4" w:space="0" w:color="auto"/>
              <w:bottom w:val="dotted" w:sz="4" w:space="0" w:color="auto"/>
              <w:right w:val="dotted" w:sz="4" w:space="0" w:color="auto"/>
            </w:tcBorders>
            <w:hideMark/>
          </w:tcPr>
          <w:p w14:paraId="0966378D" w14:textId="77777777" w:rsidR="00552F8F" w:rsidRDefault="00552F8F">
            <w:pPr>
              <w:spacing w:line="276" w:lineRule="auto"/>
              <w:rPr>
                <w:bCs/>
              </w:rPr>
            </w:pPr>
            <w:r>
              <w:rPr>
                <w:bCs/>
              </w:rPr>
              <w:t>Consultancy Service</w:t>
            </w:r>
          </w:p>
        </w:tc>
      </w:tr>
      <w:tr w:rsidR="00552F8F" w14:paraId="22DA6966" w14:textId="77777777" w:rsidTr="00051EBE">
        <w:trPr>
          <w:trHeight w:val="325"/>
        </w:trPr>
        <w:tc>
          <w:tcPr>
            <w:tcW w:w="1655" w:type="pct"/>
            <w:tcBorders>
              <w:top w:val="dotted" w:sz="4" w:space="0" w:color="auto"/>
              <w:left w:val="dotted" w:sz="4" w:space="0" w:color="auto"/>
              <w:bottom w:val="dotted" w:sz="4" w:space="0" w:color="auto"/>
              <w:right w:val="dotted" w:sz="4" w:space="0" w:color="auto"/>
            </w:tcBorders>
            <w:hideMark/>
          </w:tcPr>
          <w:p w14:paraId="5D2D530B" w14:textId="77777777" w:rsidR="00552F8F" w:rsidRDefault="00552F8F">
            <w:pPr>
              <w:spacing w:line="276" w:lineRule="auto"/>
              <w:rPr>
                <w:b/>
              </w:rPr>
            </w:pPr>
            <w:r>
              <w:rPr>
                <w:b/>
              </w:rPr>
              <w:t>Reference No.:</w:t>
            </w:r>
          </w:p>
        </w:tc>
        <w:tc>
          <w:tcPr>
            <w:tcW w:w="3345" w:type="pct"/>
            <w:tcBorders>
              <w:top w:val="dotted" w:sz="4" w:space="0" w:color="auto"/>
              <w:left w:val="dotted" w:sz="4" w:space="0" w:color="auto"/>
              <w:bottom w:val="dotted" w:sz="4" w:space="0" w:color="auto"/>
              <w:right w:val="dotted" w:sz="4" w:space="0" w:color="auto"/>
            </w:tcBorders>
            <w:shd w:val="clear" w:color="auto" w:fill="auto"/>
            <w:hideMark/>
          </w:tcPr>
          <w:p w14:paraId="2ED7AB7B" w14:textId="08770DBA" w:rsidR="00552F8F" w:rsidRPr="00051EBE" w:rsidRDefault="00051EBE">
            <w:pPr>
              <w:spacing w:line="276" w:lineRule="auto"/>
            </w:pPr>
            <w:r w:rsidRPr="00051EBE">
              <w:t>SO-MOEWR-437031-CS-QCBS</w:t>
            </w:r>
          </w:p>
        </w:tc>
      </w:tr>
      <w:tr w:rsidR="00552F8F" w14:paraId="1337C64A" w14:textId="77777777" w:rsidTr="00552F8F">
        <w:trPr>
          <w:trHeight w:val="341"/>
        </w:trPr>
        <w:tc>
          <w:tcPr>
            <w:tcW w:w="1655" w:type="pct"/>
            <w:tcBorders>
              <w:top w:val="dotted" w:sz="4" w:space="0" w:color="auto"/>
              <w:left w:val="dotted" w:sz="4" w:space="0" w:color="auto"/>
              <w:bottom w:val="dotted" w:sz="4" w:space="0" w:color="auto"/>
              <w:right w:val="dotted" w:sz="4" w:space="0" w:color="auto"/>
            </w:tcBorders>
            <w:hideMark/>
          </w:tcPr>
          <w:p w14:paraId="300A2E1F" w14:textId="77777777" w:rsidR="00552F8F" w:rsidRDefault="00552F8F">
            <w:pPr>
              <w:spacing w:line="276" w:lineRule="auto"/>
              <w:rPr>
                <w:b/>
              </w:rPr>
            </w:pPr>
            <w:r>
              <w:rPr>
                <w:b/>
              </w:rPr>
              <w:t>Place of Assignment:</w:t>
            </w:r>
          </w:p>
        </w:tc>
        <w:tc>
          <w:tcPr>
            <w:tcW w:w="3345" w:type="pct"/>
            <w:tcBorders>
              <w:top w:val="dotted" w:sz="4" w:space="0" w:color="auto"/>
              <w:left w:val="dotted" w:sz="4" w:space="0" w:color="auto"/>
              <w:bottom w:val="dotted" w:sz="4" w:space="0" w:color="auto"/>
              <w:right w:val="dotted" w:sz="4" w:space="0" w:color="auto"/>
            </w:tcBorders>
            <w:hideMark/>
          </w:tcPr>
          <w:p w14:paraId="11981A5B" w14:textId="77777777" w:rsidR="00552F8F" w:rsidRDefault="00552F8F">
            <w:pPr>
              <w:spacing w:line="276" w:lineRule="auto"/>
              <w:rPr>
                <w:bCs/>
              </w:rPr>
            </w:pPr>
            <w:r>
              <w:rPr>
                <w:bCs/>
              </w:rPr>
              <w:t>Mogadishu Somalia</w:t>
            </w:r>
          </w:p>
        </w:tc>
      </w:tr>
    </w:tbl>
    <w:p w14:paraId="3DD21A39" w14:textId="77777777" w:rsidR="00E339F6" w:rsidRPr="00F07E36" w:rsidRDefault="00E339F6" w:rsidP="00E339F6">
      <w:pPr>
        <w:rPr>
          <w:b/>
          <w:bCs/>
          <w:sz w:val="28"/>
          <w:szCs w:val="28"/>
        </w:rPr>
      </w:pPr>
    </w:p>
    <w:p w14:paraId="2DBC1574" w14:textId="04663D96" w:rsidR="00E339F6" w:rsidRPr="00763B8E" w:rsidRDefault="00E339F6" w:rsidP="00763B8E">
      <w:pPr>
        <w:pStyle w:val="Heading2"/>
        <w:rPr>
          <w:rFonts w:ascii="Times New Roman" w:hAnsi="Times New Roman" w:cs="Times New Roman"/>
          <w:b/>
          <w:bCs/>
          <w:sz w:val="28"/>
          <w:szCs w:val="28"/>
        </w:rPr>
      </w:pPr>
      <w:r w:rsidRPr="00763B8E">
        <w:rPr>
          <w:rFonts w:ascii="Times New Roman" w:hAnsi="Times New Roman" w:cs="Times New Roman"/>
          <w:b/>
          <w:bCs/>
          <w:color w:val="auto"/>
          <w:sz w:val="28"/>
          <w:szCs w:val="28"/>
        </w:rPr>
        <w:t>1. Background</w:t>
      </w:r>
      <w:r w:rsidR="00CE69E6" w:rsidRPr="00763B8E">
        <w:rPr>
          <w:rFonts w:ascii="Times New Roman" w:hAnsi="Times New Roman" w:cs="Times New Roman"/>
          <w:b/>
          <w:bCs/>
          <w:color w:val="auto"/>
          <w:sz w:val="28"/>
          <w:szCs w:val="28"/>
        </w:rPr>
        <w:t xml:space="preserve"> and context: </w:t>
      </w:r>
    </w:p>
    <w:p w14:paraId="17745C11" w14:textId="7298661F" w:rsidR="00377F2C" w:rsidRPr="00613604" w:rsidRDefault="00377F2C" w:rsidP="000C097B">
      <w:pPr>
        <w:jc w:val="both"/>
      </w:pPr>
      <w:r w:rsidRPr="00377F2C">
        <w:t xml:space="preserve">Somalia's </w:t>
      </w:r>
      <w:r>
        <w:t xml:space="preserve">electricity </w:t>
      </w:r>
      <w:r w:rsidRPr="00377F2C">
        <w:t>sector faces complex challenges stemming from years of conflict, sporadic service provision, and regulatory gaps. The country heavily relies on biomass, leading to severe deforestation and environmental degradation. Petroleum products, primarily used for transportation and electricity, contribute to about 10% of energy usage.</w:t>
      </w:r>
    </w:p>
    <w:p w14:paraId="67179FCD" w14:textId="77777777" w:rsidR="00356D32" w:rsidRPr="00377F2C" w:rsidRDefault="00356D32" w:rsidP="000C097B">
      <w:pPr>
        <w:jc w:val="both"/>
      </w:pPr>
    </w:p>
    <w:p w14:paraId="29B692D1" w14:textId="358E9519" w:rsidR="00377F2C" w:rsidRPr="00377F2C" w:rsidRDefault="00377F2C" w:rsidP="000C097B">
      <w:pPr>
        <w:jc w:val="both"/>
      </w:pPr>
      <w:r w:rsidRPr="00377F2C">
        <w:t>Before conflict, the Somalia National Electric Corporation (ENEE) supplied major cities through diesel generators, but infrastructure was destroyed, leaving private Energy Service Providers (ESPs) to fill the gap. The government has initiated policies like the Somali Power Sector Master Plan (PSMP) and the Electricity Act to improve the sector.</w:t>
      </w:r>
      <w:r>
        <w:t xml:space="preserve"> </w:t>
      </w:r>
      <w:r w:rsidRPr="00377F2C">
        <w:t>However, distribution network losses are high due to outdated equipment and duplication of infrastructure by ESPs. Inefficient metering systems result in inaccurate billing, discouraging energy efficiency. Only 35% of Somalis have access to electricity, with urban areas faring better than rural and nomadic regions.</w:t>
      </w:r>
    </w:p>
    <w:p w14:paraId="7BE6CC78" w14:textId="2206861D" w:rsidR="00377F2C" w:rsidRPr="00377F2C" w:rsidRDefault="00377F2C" w:rsidP="000C097B">
      <w:pPr>
        <w:spacing w:after="120"/>
        <w:jc w:val="both"/>
      </w:pPr>
      <w:r w:rsidRPr="00377F2C">
        <w:t>Generation capacity remains underutilized, relying solely on diesel generators. Synchronization of units and integrating renewable energy could significantly reduce costs. Over 90% of electricity is provided by ESPs, with around 55 operators in major cities.</w:t>
      </w:r>
      <w:r>
        <w:t xml:space="preserve"> </w:t>
      </w:r>
      <w:r w:rsidRPr="00377F2C">
        <w:t>Efforts to enact sector laws are underway, but substantial institutional and regulatory frameworks are needed to enhance the sector's operation.</w:t>
      </w:r>
    </w:p>
    <w:p w14:paraId="728831E9" w14:textId="33094D93" w:rsidR="00820697" w:rsidRPr="008F2A51" w:rsidRDefault="00E339F6" w:rsidP="008F2A51">
      <w:pPr>
        <w:spacing w:before="100" w:beforeAutospacing="1" w:after="100" w:afterAutospacing="1"/>
        <w:jc w:val="both"/>
        <w:rPr>
          <w:rFonts w:eastAsiaTheme="minorHAnsi"/>
          <w:kern w:val="2"/>
          <w14:ligatures w14:val="standardContextual"/>
        </w:rPr>
      </w:pPr>
      <w:r w:rsidRPr="00DF6A15">
        <w:t xml:space="preserve">The Ministry of Energy and Water Resources (MoEWR) of Somalia is embarking on the development of the Electricity Sector to address the country's energy needs and promote socio-economic development. In compliance with regulatory requirements </w:t>
      </w:r>
      <w:r w:rsidR="00745230">
        <w:t>such as</w:t>
      </w:r>
      <w:r w:rsidR="00820697" w:rsidRPr="008F2A51">
        <w:rPr>
          <w:rFonts w:eastAsiaTheme="minorHAnsi"/>
          <w:kern w:val="2"/>
          <w14:ligatures w14:val="standardContextual"/>
        </w:rPr>
        <w:t xml:space="preserve"> National Regulations and Policies including but not limited to, National Environmental Policy (NEP), Somali national adaptation Framework, Somali national climate change policy as well as </w:t>
      </w:r>
      <w:r w:rsidR="000C097B" w:rsidRPr="000B09C7">
        <w:t xml:space="preserve">World Bank Environmental and Social </w:t>
      </w:r>
      <w:r w:rsidR="00443628" w:rsidRPr="000B09C7">
        <w:t>Standards</w:t>
      </w:r>
      <w:r w:rsidR="00443628" w:rsidRPr="008F2A51" w:rsidDel="000C097B">
        <w:rPr>
          <w:rFonts w:eastAsiaTheme="minorHAnsi"/>
          <w:kern w:val="2"/>
          <w14:ligatures w14:val="standardContextual"/>
        </w:rPr>
        <w:t xml:space="preserve"> </w:t>
      </w:r>
      <w:r w:rsidR="00443628" w:rsidRPr="008F2A51">
        <w:rPr>
          <w:rFonts w:eastAsiaTheme="minorHAnsi"/>
          <w:kern w:val="2"/>
          <w14:ligatures w14:val="standardContextual"/>
        </w:rPr>
        <w:t>and</w:t>
      </w:r>
      <w:r w:rsidR="000C097B" w:rsidRPr="008F2A51">
        <w:rPr>
          <w:rFonts w:eastAsiaTheme="minorHAnsi"/>
          <w:kern w:val="2"/>
          <w14:ligatures w14:val="standardContextual"/>
        </w:rPr>
        <w:t xml:space="preserve"> </w:t>
      </w:r>
      <w:r w:rsidR="000C097B" w:rsidRPr="008F2A51">
        <w:rPr>
          <w:rFonts w:eastAsiaTheme="minorHAnsi"/>
        </w:rPr>
        <w:t>Environmental, Health, and Safety Guidelines for Electric Power Transmission and Distribution</w:t>
      </w:r>
      <w:r w:rsidR="000C097B">
        <w:t xml:space="preserve">. </w:t>
      </w:r>
    </w:p>
    <w:p w14:paraId="7DF364C2" w14:textId="31D4D684" w:rsidR="00356D32" w:rsidRDefault="000C097B" w:rsidP="00356D32">
      <w:pPr>
        <w:spacing w:after="60"/>
        <w:jc w:val="both"/>
      </w:pPr>
      <w:r>
        <w:lastRenderedPageBreak/>
        <w:t>T</w:t>
      </w:r>
      <w:r w:rsidR="00E339F6" w:rsidRPr="00DF6A15">
        <w:t>he MoEWR seeks to conduct a Strategic Environmental and Social Assessment (SESA) to ensure that environmental and social considerations are adequately integrated into the sector's planning and implementation processes.</w:t>
      </w:r>
      <w:r w:rsidR="001536FE">
        <w:t xml:space="preserve"> </w:t>
      </w:r>
      <w:r w:rsidR="00E339F6" w:rsidRPr="00DF6A15">
        <w:t>The Electricity Sector development plans</w:t>
      </w:r>
      <w:r w:rsidR="00356D32">
        <w:t xml:space="preserve"> as such as</w:t>
      </w:r>
      <w:r w:rsidR="00356D32" w:rsidRPr="00356D32">
        <w:t xml:space="preserve"> </w:t>
      </w:r>
      <w:bookmarkStart w:id="0" w:name="OLE_LINK1"/>
      <w:bookmarkStart w:id="1" w:name="OLE_LINK2"/>
      <w:r w:rsidR="00356D32" w:rsidRPr="00356D32">
        <w:t>Somalia’s Power Masterplan</w:t>
      </w:r>
      <w:r w:rsidR="005202A0">
        <w:rPr>
          <w:rStyle w:val="FootnoteReference"/>
        </w:rPr>
        <w:footnoteReference w:id="1"/>
      </w:r>
      <w:r w:rsidR="00356D32" w:rsidRPr="00356D32">
        <w:t>, the Least-Cost Geospatial Mapping</w:t>
      </w:r>
      <w:r w:rsidR="005202A0">
        <w:rPr>
          <w:rStyle w:val="FootnoteReference"/>
        </w:rPr>
        <w:footnoteReference w:id="2"/>
      </w:r>
      <w:r w:rsidR="00356D32" w:rsidRPr="00356D32">
        <w:t>, and the Electricity Supply Industry</w:t>
      </w:r>
      <w:r w:rsidR="005202A0">
        <w:rPr>
          <w:rStyle w:val="FootnoteReference"/>
        </w:rPr>
        <w:footnoteReference w:id="3"/>
      </w:r>
      <w:r w:rsidR="00A0331A">
        <w:t xml:space="preserve">, </w:t>
      </w:r>
      <w:bookmarkEnd w:id="0"/>
      <w:bookmarkEnd w:id="1"/>
      <w:r w:rsidR="00E339F6" w:rsidRPr="00DF6A15">
        <w:t xml:space="preserve">aim to enhance access to reliable and sustainable electricity, promote renewable energy sources, and improve energy efficiency. </w:t>
      </w:r>
      <w:r w:rsidR="00443628">
        <w:t>In line</w:t>
      </w:r>
      <w:r w:rsidR="00677DC5">
        <w:t xml:space="preserve"> with Somalia’s electricity sector development </w:t>
      </w:r>
      <w:r w:rsidR="00443628">
        <w:t>plans, the</w:t>
      </w:r>
      <w:r w:rsidR="00817545" w:rsidRPr="00A14270">
        <w:t xml:space="preserve"> Federal Government of Somalia has secured a grant from the World Bank to implement the Somali Electricity Sector Recovery Project </w:t>
      </w:r>
      <w:r w:rsidR="00817545" w:rsidRPr="00A14270">
        <w:rPr>
          <w:b/>
          <w:bCs/>
        </w:rPr>
        <w:t>(SESRP)</w:t>
      </w:r>
      <w:r w:rsidR="00356D32">
        <w:rPr>
          <w:b/>
          <w:bCs/>
        </w:rPr>
        <w:t xml:space="preserve"> and </w:t>
      </w:r>
      <w:r w:rsidR="00356D32" w:rsidRPr="00852C76">
        <w:t>Accelerating Sustainable and Clean Energy Access Transformation in Somalia</w:t>
      </w:r>
      <w:r w:rsidR="00356D32" w:rsidRPr="00852C76">
        <w:rPr>
          <w:b/>
          <w:bCs/>
        </w:rPr>
        <w:t xml:space="preserve"> </w:t>
      </w:r>
      <w:r w:rsidR="00356D32" w:rsidRPr="00852C76">
        <w:t>(</w:t>
      </w:r>
      <w:r w:rsidR="00356D32" w:rsidRPr="00852C76">
        <w:rPr>
          <w:b/>
          <w:bCs/>
        </w:rPr>
        <w:t>ASCENT Somalia)</w:t>
      </w:r>
      <w:r w:rsidR="00356D32">
        <w:rPr>
          <w:b/>
          <w:bCs/>
        </w:rPr>
        <w:t>.</w:t>
      </w:r>
      <w:r w:rsidR="00817545">
        <w:t xml:space="preserve"> </w:t>
      </w:r>
      <w:r w:rsidR="00356D32" w:rsidRPr="00852C76">
        <w:t xml:space="preserve">Both projects are implemented by the Ministry of Energy and Water Resources (MoEWR). </w:t>
      </w:r>
    </w:p>
    <w:p w14:paraId="64EB30E7" w14:textId="77777777" w:rsidR="00356D32" w:rsidRPr="00852C76" w:rsidRDefault="00356D32" w:rsidP="008F2A51">
      <w:pPr>
        <w:spacing w:after="60"/>
        <w:jc w:val="both"/>
      </w:pPr>
    </w:p>
    <w:p w14:paraId="7D6D68EC" w14:textId="24472473" w:rsidR="00356D32" w:rsidRDefault="00356D32" w:rsidP="00356D32">
      <w:r w:rsidRPr="00852C76">
        <w:t>The Project</w:t>
      </w:r>
      <w:r w:rsidR="00677DC5">
        <w:t>s’</w:t>
      </w:r>
      <w:r w:rsidRPr="00852C76">
        <w:t xml:space="preserve"> Development Objective is to increase access to lower cost and cleaner electricity supply in the project areas and to reestablish the electricity supply industry. </w:t>
      </w:r>
    </w:p>
    <w:p w14:paraId="3BE25B62" w14:textId="77777777" w:rsidR="00356D32" w:rsidRPr="00852C76" w:rsidRDefault="00356D32" w:rsidP="00356D32"/>
    <w:p w14:paraId="695F2F13" w14:textId="77777777" w:rsidR="00356D32" w:rsidRPr="00852C76" w:rsidRDefault="00356D32" w:rsidP="00356D32">
      <w:pPr>
        <w:rPr>
          <w:b/>
          <w:bCs/>
        </w:rPr>
      </w:pPr>
      <w:r w:rsidRPr="00852C76">
        <w:rPr>
          <w:b/>
          <w:bCs/>
        </w:rPr>
        <w:t>a) The Somali Electricity Sector Recovery Project (SESRP)</w:t>
      </w:r>
    </w:p>
    <w:p w14:paraId="039DEA29" w14:textId="77777777" w:rsidR="00356D32" w:rsidRPr="00852C76" w:rsidRDefault="00356D32" w:rsidP="00356D32">
      <w:pPr>
        <w:rPr>
          <w:bCs/>
        </w:rPr>
      </w:pPr>
      <w:r w:rsidRPr="00852C76">
        <w:rPr>
          <w:bCs/>
        </w:rPr>
        <w:t>The Project Development Objective of SESRP is to increase access to lower cost and cleaner electricity supply in the project areas and to reestablish the electricity supply industry.</w:t>
      </w:r>
    </w:p>
    <w:p w14:paraId="5C2CDCD7" w14:textId="77777777" w:rsidR="00356D32" w:rsidRPr="00852C76" w:rsidRDefault="00356D32" w:rsidP="00356D32">
      <w:r w:rsidRPr="00852C76">
        <w:t>The project comprises of four components:</w:t>
      </w:r>
    </w:p>
    <w:p w14:paraId="40211BEB" w14:textId="77777777" w:rsidR="00356D32" w:rsidRPr="00852C76" w:rsidRDefault="00356D32" w:rsidP="00356D32">
      <w:pPr>
        <w:numPr>
          <w:ilvl w:val="0"/>
          <w:numId w:val="40"/>
        </w:numPr>
      </w:pPr>
      <w:r w:rsidRPr="00852C76">
        <w:rPr>
          <w:b/>
          <w:bCs/>
        </w:rPr>
        <w:t>Component 1</w:t>
      </w:r>
      <w:r w:rsidRPr="00852C76">
        <w:t xml:space="preserve"> – Sub-transmission and distribution network reconstruction, reinforcement, and operations efficiency in the major load centers of Mogadishu and Hargeisa.</w:t>
      </w:r>
    </w:p>
    <w:p w14:paraId="5138CADB" w14:textId="77777777" w:rsidR="00356D32" w:rsidRPr="00852C76" w:rsidRDefault="00356D32" w:rsidP="00356D32">
      <w:pPr>
        <w:numPr>
          <w:ilvl w:val="0"/>
          <w:numId w:val="40"/>
        </w:numPr>
      </w:pPr>
      <w:r w:rsidRPr="00852C76">
        <w:rPr>
          <w:b/>
          <w:bCs/>
        </w:rPr>
        <w:t>Component 2 –</w:t>
      </w:r>
      <w:r w:rsidRPr="00852C76">
        <w:t xml:space="preserve"> Hybridization and battery storage systems for mini grids. </w:t>
      </w:r>
    </w:p>
    <w:p w14:paraId="0ACB0E27" w14:textId="77777777" w:rsidR="00356D32" w:rsidRPr="00852C76" w:rsidRDefault="00356D32" w:rsidP="00356D32">
      <w:pPr>
        <w:numPr>
          <w:ilvl w:val="0"/>
          <w:numId w:val="40"/>
        </w:numPr>
      </w:pPr>
      <w:r w:rsidRPr="00852C76">
        <w:rPr>
          <w:b/>
          <w:bCs/>
        </w:rPr>
        <w:t>Component 3</w:t>
      </w:r>
      <w:r w:rsidRPr="00852C76">
        <w:t xml:space="preserve"> – Stand-alone solar off-grid access to public institutions (Health and Education). </w:t>
      </w:r>
    </w:p>
    <w:p w14:paraId="2AEA926F" w14:textId="77777777" w:rsidR="00356D32" w:rsidRPr="00852C76" w:rsidRDefault="00356D32" w:rsidP="00356D32">
      <w:pPr>
        <w:numPr>
          <w:ilvl w:val="0"/>
          <w:numId w:val="40"/>
        </w:numPr>
      </w:pPr>
      <w:r w:rsidRPr="00852C76">
        <w:rPr>
          <w:b/>
          <w:bCs/>
        </w:rPr>
        <w:t>Component 4 -</w:t>
      </w:r>
      <w:r w:rsidRPr="00852C76">
        <w:t xml:space="preserve"> Institutional Development and Capacity Building.</w:t>
      </w:r>
    </w:p>
    <w:p w14:paraId="040082DF" w14:textId="77777777" w:rsidR="00356D32" w:rsidRPr="00852C76" w:rsidRDefault="00356D32" w:rsidP="00356D32"/>
    <w:p w14:paraId="22A9509F" w14:textId="77777777" w:rsidR="00356D32" w:rsidRPr="00852C76" w:rsidRDefault="00356D32" w:rsidP="00356D32">
      <w:pPr>
        <w:rPr>
          <w:b/>
          <w:bCs/>
        </w:rPr>
      </w:pPr>
      <w:r w:rsidRPr="00852C76">
        <w:rPr>
          <w:b/>
          <w:bCs/>
        </w:rPr>
        <w:t xml:space="preserve">b) Accelerating Sustainable and Clean Energy Access Transformation in Somalia (ASCENT Somalia). </w:t>
      </w:r>
    </w:p>
    <w:p w14:paraId="5486B2A9" w14:textId="77777777" w:rsidR="00356D32" w:rsidRPr="00852C76" w:rsidRDefault="00356D32" w:rsidP="00356D32">
      <w:r w:rsidRPr="00852C76">
        <w:t>The Project Development Objective of ASCENT Somalia is to increase access to sustainable and clean energy through private sector participation in Somalia.</w:t>
      </w:r>
    </w:p>
    <w:p w14:paraId="4E80E180" w14:textId="77777777" w:rsidR="00356D32" w:rsidRPr="00852C76" w:rsidRDefault="00356D32" w:rsidP="00356D32">
      <w:r w:rsidRPr="00852C76">
        <w:t>The ACENT Somalia project comprises three components:</w:t>
      </w:r>
    </w:p>
    <w:p w14:paraId="4157B8C0" w14:textId="77777777" w:rsidR="00356D32" w:rsidRPr="00852C76" w:rsidRDefault="00356D32" w:rsidP="00356D32">
      <w:pPr>
        <w:numPr>
          <w:ilvl w:val="0"/>
          <w:numId w:val="39"/>
        </w:numPr>
        <w:rPr>
          <w:b/>
          <w:bCs/>
        </w:rPr>
      </w:pPr>
      <w:r w:rsidRPr="00852C76">
        <w:rPr>
          <w:b/>
          <w:bCs/>
        </w:rPr>
        <w:t xml:space="preserve">Component 1 - </w:t>
      </w:r>
      <w:r w:rsidRPr="00852C76">
        <w:t xml:space="preserve">Distributed Renewal Energy (DRE) with Solar PV (SPV) and Battery Energy Storage Systems (BESS) in the capital city of Mogadishu and other major load centers in the Federal Members States (FMS). </w:t>
      </w:r>
    </w:p>
    <w:p w14:paraId="5D578201" w14:textId="77777777" w:rsidR="00356D32" w:rsidRPr="00852C76" w:rsidRDefault="00356D32" w:rsidP="00356D32">
      <w:pPr>
        <w:numPr>
          <w:ilvl w:val="0"/>
          <w:numId w:val="39"/>
        </w:numPr>
      </w:pPr>
      <w:r w:rsidRPr="00852C76">
        <w:rPr>
          <w:b/>
          <w:bCs/>
        </w:rPr>
        <w:t xml:space="preserve">Component 2 - </w:t>
      </w:r>
      <w:r w:rsidRPr="00852C76">
        <w:t xml:space="preserve">Electricity Distribution Network Rehabilitation and Reinforcement of the mini grids serving the Mogadishu capital city area and other FMS major load centers. </w:t>
      </w:r>
    </w:p>
    <w:p w14:paraId="01233B8E" w14:textId="77777777" w:rsidR="00356D32" w:rsidRPr="00852C76" w:rsidRDefault="00356D32" w:rsidP="00356D32">
      <w:pPr>
        <w:numPr>
          <w:ilvl w:val="0"/>
          <w:numId w:val="39"/>
        </w:numPr>
      </w:pPr>
      <w:r w:rsidRPr="00852C76">
        <w:rPr>
          <w:b/>
          <w:bCs/>
        </w:rPr>
        <w:t xml:space="preserve">Component 3 - </w:t>
      </w:r>
      <w:r w:rsidRPr="00852C76">
        <w:t>Sector Capacity and Institution Enhancement and Project Implementation Support.</w:t>
      </w:r>
    </w:p>
    <w:p w14:paraId="551604CA" w14:textId="77777777" w:rsidR="00E52D0D" w:rsidRPr="004A0F0D" w:rsidRDefault="00E52D0D" w:rsidP="00E52D0D">
      <w:pPr>
        <w:pStyle w:val="Heading2"/>
        <w:rPr>
          <w:rFonts w:ascii="Times New Roman" w:hAnsi="Times New Roman" w:cs="Times New Roman"/>
          <w:sz w:val="24"/>
          <w:szCs w:val="24"/>
        </w:rPr>
      </w:pPr>
      <w:r w:rsidRPr="004A0F0D">
        <w:rPr>
          <w:rStyle w:val="cf01"/>
          <w:rFonts w:ascii="Times New Roman" w:hAnsi="Times New Roman" w:cs="Times New Roman"/>
          <w:b/>
          <w:bCs/>
          <w:sz w:val="24"/>
          <w:szCs w:val="24"/>
        </w:rPr>
        <w:lastRenderedPageBreak/>
        <w:t>2. Objective of the assignment:</w:t>
      </w:r>
    </w:p>
    <w:p w14:paraId="41942AA4" w14:textId="5BA171BC" w:rsidR="00607706" w:rsidRDefault="001D5E6B" w:rsidP="00607706">
      <w:pPr>
        <w:spacing w:after="60"/>
        <w:jc w:val="both"/>
      </w:pPr>
      <w:r w:rsidRPr="001D5E6B">
        <w:rPr>
          <w:rStyle w:val="cf01"/>
          <w:rFonts w:ascii="Times New Roman" w:hAnsi="Times New Roman" w:cs="Times New Roman"/>
          <w:sz w:val="24"/>
          <w:szCs w:val="24"/>
        </w:rPr>
        <w:t xml:space="preserve">The primary objective of this SESA study is to assess the potential environmental and social impacts associated with the </w:t>
      </w:r>
      <w:r w:rsidR="00BF5D09">
        <w:rPr>
          <w:rStyle w:val="cf01"/>
          <w:rFonts w:ascii="Times New Roman" w:hAnsi="Times New Roman" w:cs="Times New Roman"/>
          <w:sz w:val="24"/>
          <w:szCs w:val="24"/>
        </w:rPr>
        <w:t>e</w:t>
      </w:r>
      <w:r w:rsidR="00B62765" w:rsidRPr="001D5E6B">
        <w:rPr>
          <w:rStyle w:val="cf01"/>
          <w:rFonts w:ascii="Times New Roman" w:hAnsi="Times New Roman" w:cs="Times New Roman"/>
          <w:sz w:val="24"/>
          <w:szCs w:val="24"/>
        </w:rPr>
        <w:t xml:space="preserve">lectricity </w:t>
      </w:r>
      <w:r w:rsidR="005F4BC7">
        <w:rPr>
          <w:rStyle w:val="cf01"/>
          <w:rFonts w:ascii="Times New Roman" w:hAnsi="Times New Roman" w:cs="Times New Roman"/>
          <w:sz w:val="24"/>
          <w:szCs w:val="24"/>
        </w:rPr>
        <w:t>s</w:t>
      </w:r>
      <w:r w:rsidR="00B62765" w:rsidRPr="001D5E6B">
        <w:rPr>
          <w:rStyle w:val="cf01"/>
          <w:rFonts w:ascii="Times New Roman" w:hAnsi="Times New Roman" w:cs="Times New Roman"/>
          <w:sz w:val="24"/>
          <w:szCs w:val="24"/>
        </w:rPr>
        <w:t>ector</w:t>
      </w:r>
      <w:r w:rsidR="005F4BC7">
        <w:rPr>
          <w:rStyle w:val="cf01"/>
          <w:rFonts w:ascii="Times New Roman" w:hAnsi="Times New Roman" w:cs="Times New Roman"/>
          <w:sz w:val="24"/>
          <w:szCs w:val="24"/>
        </w:rPr>
        <w:t xml:space="preserve"> </w:t>
      </w:r>
      <w:r w:rsidR="00B62765" w:rsidRPr="001D5E6B">
        <w:rPr>
          <w:rStyle w:val="cf01"/>
          <w:rFonts w:ascii="Times New Roman" w:hAnsi="Times New Roman" w:cs="Times New Roman"/>
          <w:sz w:val="24"/>
          <w:szCs w:val="24"/>
        </w:rPr>
        <w:t>in Somalia</w:t>
      </w:r>
      <w:r w:rsidR="005F4BC7">
        <w:rPr>
          <w:rStyle w:val="cf01"/>
          <w:rFonts w:ascii="Times New Roman" w:hAnsi="Times New Roman" w:cs="Times New Roman"/>
          <w:sz w:val="24"/>
          <w:szCs w:val="24"/>
        </w:rPr>
        <w:t xml:space="preserve">, </w:t>
      </w:r>
      <w:r w:rsidR="008B0EA7">
        <w:rPr>
          <w:rStyle w:val="cf01"/>
          <w:rFonts w:ascii="Times New Roman" w:hAnsi="Times New Roman" w:cs="Times New Roman"/>
          <w:sz w:val="24"/>
          <w:szCs w:val="24"/>
        </w:rPr>
        <w:t xml:space="preserve">and </w:t>
      </w:r>
      <w:r w:rsidR="008B0EA7" w:rsidRPr="001D5E6B">
        <w:rPr>
          <w:rStyle w:val="cf01"/>
          <w:rFonts w:ascii="Times New Roman" w:hAnsi="Times New Roman" w:cs="Times New Roman"/>
          <w:sz w:val="24"/>
          <w:szCs w:val="24"/>
        </w:rPr>
        <w:t>primarily</w:t>
      </w:r>
      <w:r w:rsidR="0057252D">
        <w:rPr>
          <w:rStyle w:val="cf01"/>
          <w:rFonts w:ascii="Times New Roman" w:hAnsi="Times New Roman" w:cs="Times New Roman"/>
          <w:sz w:val="24"/>
          <w:szCs w:val="24"/>
        </w:rPr>
        <w:t xml:space="preserve"> focused on</w:t>
      </w:r>
      <w:r w:rsidR="00A0331A">
        <w:rPr>
          <w:rStyle w:val="cf01"/>
          <w:rFonts w:ascii="Times New Roman" w:hAnsi="Times New Roman" w:cs="Times New Roman"/>
          <w:sz w:val="24"/>
          <w:szCs w:val="24"/>
        </w:rPr>
        <w:t xml:space="preserve"> transmission and </w:t>
      </w:r>
      <w:r w:rsidR="0083571D">
        <w:rPr>
          <w:rStyle w:val="cf01"/>
          <w:rFonts w:ascii="Times New Roman" w:hAnsi="Times New Roman" w:cs="Times New Roman"/>
          <w:sz w:val="24"/>
          <w:szCs w:val="24"/>
        </w:rPr>
        <w:t>distributions</w:t>
      </w:r>
      <w:r w:rsidR="00A0331A">
        <w:rPr>
          <w:rStyle w:val="cf01"/>
          <w:rFonts w:ascii="Times New Roman" w:hAnsi="Times New Roman" w:cs="Times New Roman"/>
          <w:sz w:val="24"/>
          <w:szCs w:val="24"/>
        </w:rPr>
        <w:t xml:space="preserve"> lines, substations, solar energy and </w:t>
      </w:r>
      <w:r w:rsidR="0083571D">
        <w:rPr>
          <w:rStyle w:val="cf01"/>
          <w:rFonts w:ascii="Times New Roman" w:hAnsi="Times New Roman" w:cs="Times New Roman"/>
          <w:sz w:val="24"/>
          <w:szCs w:val="24"/>
        </w:rPr>
        <w:t>battery</w:t>
      </w:r>
      <w:r w:rsidR="00A0331A">
        <w:rPr>
          <w:rStyle w:val="cf01"/>
          <w:rFonts w:ascii="Times New Roman" w:hAnsi="Times New Roman" w:cs="Times New Roman"/>
          <w:sz w:val="24"/>
          <w:szCs w:val="24"/>
        </w:rPr>
        <w:t xml:space="preserve"> storage systems</w:t>
      </w:r>
      <w:r w:rsidRPr="001D5E6B">
        <w:rPr>
          <w:rStyle w:val="cf01"/>
          <w:rFonts w:ascii="Times New Roman" w:hAnsi="Times New Roman" w:cs="Times New Roman"/>
          <w:sz w:val="24"/>
          <w:szCs w:val="24"/>
        </w:rPr>
        <w:t xml:space="preserve">. Specifically, the </w:t>
      </w:r>
      <w:r w:rsidR="00607706" w:rsidRPr="001D5E6B">
        <w:t xml:space="preserve">SESA </w:t>
      </w:r>
      <w:r w:rsidRPr="001D5E6B">
        <w:t xml:space="preserve">will </w:t>
      </w:r>
      <w:r w:rsidR="00607706" w:rsidRPr="001D5E6B">
        <w:t xml:space="preserve">achieve the following objectives: </w:t>
      </w:r>
    </w:p>
    <w:p w14:paraId="4C8B231B" w14:textId="20F269D5" w:rsidR="00607706" w:rsidRDefault="00607706" w:rsidP="00607706">
      <w:pPr>
        <w:pStyle w:val="FootnoteText"/>
        <w:numPr>
          <w:ilvl w:val="0"/>
          <w:numId w:val="44"/>
        </w:numPr>
        <w:spacing w:after="60"/>
        <w:jc w:val="both"/>
        <w:rPr>
          <w:rFonts w:ascii="Times New Roman" w:hAnsi="Times New Roman" w:cs="Times New Roman"/>
          <w:sz w:val="24"/>
          <w:szCs w:val="24"/>
        </w:rPr>
      </w:pPr>
      <w:r w:rsidRPr="00607706">
        <w:rPr>
          <w:rFonts w:ascii="Times New Roman" w:hAnsi="Times New Roman" w:cs="Times New Roman"/>
          <w:sz w:val="24"/>
          <w:szCs w:val="24"/>
        </w:rPr>
        <w:t xml:space="preserve">To provide a basis for MoEWR to </w:t>
      </w:r>
      <w:r w:rsidR="00242E30">
        <w:rPr>
          <w:rFonts w:ascii="Times New Roman" w:hAnsi="Times New Roman" w:cs="Times New Roman"/>
          <w:sz w:val="24"/>
          <w:szCs w:val="24"/>
        </w:rPr>
        <w:t>integrate</w:t>
      </w:r>
      <w:r w:rsidRPr="00607706">
        <w:rPr>
          <w:rFonts w:ascii="Times New Roman" w:hAnsi="Times New Roman" w:cs="Times New Roman"/>
          <w:sz w:val="24"/>
          <w:szCs w:val="24"/>
        </w:rPr>
        <w:t xml:space="preserve"> environmental and social considerations into upstream strategic decision making about </w:t>
      </w:r>
      <w:r w:rsidR="00D969ED">
        <w:rPr>
          <w:rFonts w:ascii="Times New Roman" w:hAnsi="Times New Roman" w:cs="Times New Roman"/>
          <w:sz w:val="24"/>
          <w:szCs w:val="24"/>
        </w:rPr>
        <w:t>sector planning and implementation.</w:t>
      </w:r>
      <w:r w:rsidR="00A56399">
        <w:rPr>
          <w:rFonts w:ascii="Times New Roman" w:hAnsi="Times New Roman" w:cs="Times New Roman"/>
          <w:sz w:val="24"/>
          <w:szCs w:val="24"/>
        </w:rPr>
        <w:t xml:space="preserve"> This will </w:t>
      </w:r>
      <w:r w:rsidR="00545D80">
        <w:rPr>
          <w:rFonts w:ascii="Times New Roman" w:hAnsi="Times New Roman" w:cs="Times New Roman"/>
          <w:sz w:val="24"/>
          <w:szCs w:val="24"/>
        </w:rPr>
        <w:t xml:space="preserve">cover the value chain including into plans for </w:t>
      </w:r>
      <w:r>
        <w:rPr>
          <w:rFonts w:ascii="Times New Roman" w:hAnsi="Times New Roman" w:cs="Times New Roman"/>
          <w:sz w:val="24"/>
          <w:szCs w:val="24"/>
        </w:rPr>
        <w:t xml:space="preserve">power generation (including optimizing energy mix), transmission, </w:t>
      </w:r>
      <w:r w:rsidR="001E1956">
        <w:rPr>
          <w:rFonts w:ascii="Times New Roman" w:hAnsi="Times New Roman" w:cs="Times New Roman"/>
          <w:sz w:val="24"/>
          <w:szCs w:val="24"/>
        </w:rPr>
        <w:t>distribution,</w:t>
      </w:r>
      <w:r>
        <w:rPr>
          <w:rFonts w:ascii="Times New Roman" w:hAnsi="Times New Roman" w:cs="Times New Roman"/>
          <w:sz w:val="24"/>
          <w:szCs w:val="24"/>
        </w:rPr>
        <w:t xml:space="preserve"> and cost recovery; along</w:t>
      </w:r>
      <w:r w:rsidRPr="00607706">
        <w:rPr>
          <w:rFonts w:ascii="Times New Roman" w:hAnsi="Times New Roman" w:cs="Times New Roman"/>
          <w:sz w:val="24"/>
          <w:szCs w:val="24"/>
        </w:rPr>
        <w:t xml:space="preserve">side financial, </w:t>
      </w:r>
      <w:r w:rsidR="006A7370" w:rsidRPr="00607706">
        <w:rPr>
          <w:rFonts w:ascii="Times New Roman" w:hAnsi="Times New Roman" w:cs="Times New Roman"/>
          <w:sz w:val="24"/>
          <w:szCs w:val="24"/>
        </w:rPr>
        <w:t>technical,</w:t>
      </w:r>
      <w:r w:rsidRPr="00607706">
        <w:rPr>
          <w:rFonts w:ascii="Times New Roman" w:hAnsi="Times New Roman" w:cs="Times New Roman"/>
          <w:sz w:val="24"/>
          <w:szCs w:val="24"/>
        </w:rPr>
        <w:t xml:space="preserve"> and social </w:t>
      </w:r>
      <w:r w:rsidR="001E1956" w:rsidRPr="00607706">
        <w:rPr>
          <w:rFonts w:ascii="Times New Roman" w:hAnsi="Times New Roman" w:cs="Times New Roman"/>
          <w:sz w:val="24"/>
          <w:szCs w:val="24"/>
        </w:rPr>
        <w:t>considerations.</w:t>
      </w:r>
      <w:r w:rsidRPr="00607706">
        <w:rPr>
          <w:rFonts w:ascii="Times New Roman" w:hAnsi="Times New Roman" w:cs="Times New Roman"/>
          <w:sz w:val="24"/>
          <w:szCs w:val="24"/>
        </w:rPr>
        <w:t xml:space="preserve"> </w:t>
      </w:r>
    </w:p>
    <w:p w14:paraId="2F120CD5" w14:textId="3DA061E2" w:rsidR="002019BF" w:rsidRPr="002019BF" w:rsidRDefault="002019BF" w:rsidP="00607706">
      <w:pPr>
        <w:pStyle w:val="FootnoteText"/>
        <w:numPr>
          <w:ilvl w:val="0"/>
          <w:numId w:val="44"/>
        </w:numPr>
        <w:spacing w:after="60"/>
        <w:jc w:val="both"/>
        <w:rPr>
          <w:rFonts w:ascii="Times New Roman" w:hAnsi="Times New Roman" w:cs="Times New Roman"/>
          <w:sz w:val="24"/>
          <w:szCs w:val="24"/>
        </w:rPr>
      </w:pPr>
      <w:r w:rsidRPr="002019BF">
        <w:rPr>
          <w:rStyle w:val="cf01"/>
          <w:rFonts w:ascii="Times New Roman" w:eastAsiaTheme="majorEastAsia" w:hAnsi="Times New Roman" w:cs="Times New Roman"/>
          <w:sz w:val="24"/>
          <w:szCs w:val="24"/>
        </w:rPr>
        <w:t xml:space="preserve">identify </w:t>
      </w:r>
      <w:r w:rsidR="00840D7A">
        <w:rPr>
          <w:rStyle w:val="cf01"/>
          <w:rFonts w:ascii="Times New Roman" w:eastAsiaTheme="majorEastAsia" w:hAnsi="Times New Roman" w:cs="Times New Roman"/>
          <w:sz w:val="24"/>
          <w:szCs w:val="24"/>
        </w:rPr>
        <w:t xml:space="preserve">and evaluate potential environmental and </w:t>
      </w:r>
      <w:r w:rsidR="00190CEF">
        <w:rPr>
          <w:rStyle w:val="cf01"/>
          <w:rFonts w:ascii="Times New Roman" w:eastAsiaTheme="majorEastAsia" w:hAnsi="Times New Roman" w:cs="Times New Roman"/>
          <w:sz w:val="24"/>
          <w:szCs w:val="24"/>
        </w:rPr>
        <w:t xml:space="preserve">social impacts and opportunities for projects, including </w:t>
      </w:r>
      <w:r w:rsidRPr="002019BF">
        <w:rPr>
          <w:rStyle w:val="cf01"/>
          <w:rFonts w:ascii="Times New Roman" w:eastAsiaTheme="majorEastAsia" w:hAnsi="Times New Roman" w:cs="Times New Roman"/>
          <w:sz w:val="24"/>
          <w:szCs w:val="24"/>
        </w:rPr>
        <w:t>on physical, biological, ecological</w:t>
      </w:r>
      <w:r w:rsidR="00BD17BB">
        <w:rPr>
          <w:rStyle w:val="cf01"/>
          <w:rFonts w:ascii="Times New Roman" w:eastAsiaTheme="majorEastAsia" w:hAnsi="Times New Roman" w:cs="Times New Roman"/>
          <w:sz w:val="24"/>
          <w:szCs w:val="24"/>
        </w:rPr>
        <w:t>, land</w:t>
      </w:r>
      <w:r w:rsidR="001E1956">
        <w:rPr>
          <w:rStyle w:val="cf01"/>
          <w:rFonts w:ascii="Times New Roman" w:eastAsiaTheme="majorEastAsia" w:hAnsi="Times New Roman" w:cs="Times New Roman"/>
          <w:sz w:val="24"/>
          <w:szCs w:val="24"/>
        </w:rPr>
        <w:t>-use patterns,</w:t>
      </w:r>
      <w:r w:rsidRPr="002019BF">
        <w:rPr>
          <w:rStyle w:val="cf01"/>
          <w:rFonts w:ascii="Times New Roman" w:eastAsiaTheme="majorEastAsia" w:hAnsi="Times New Roman" w:cs="Times New Roman"/>
          <w:sz w:val="24"/>
          <w:szCs w:val="24"/>
        </w:rPr>
        <w:t xml:space="preserve"> socio-economic environment</w:t>
      </w:r>
      <w:r w:rsidR="006A7370">
        <w:rPr>
          <w:rStyle w:val="cf01"/>
          <w:rFonts w:ascii="Times New Roman" w:eastAsiaTheme="majorEastAsia" w:hAnsi="Times New Roman" w:cs="Times New Roman"/>
          <w:sz w:val="24"/>
          <w:szCs w:val="24"/>
        </w:rPr>
        <w:t xml:space="preserve"> and local economic development</w:t>
      </w:r>
      <w:r w:rsidRPr="002019BF">
        <w:rPr>
          <w:rStyle w:val="cf01"/>
          <w:rFonts w:ascii="Times New Roman" w:eastAsiaTheme="majorEastAsia" w:hAnsi="Times New Roman" w:cs="Times New Roman"/>
          <w:sz w:val="24"/>
          <w:szCs w:val="24"/>
        </w:rPr>
        <w:t xml:space="preserve"> in designated project areas</w:t>
      </w:r>
      <w:r w:rsidR="006A7370">
        <w:rPr>
          <w:rStyle w:val="cf01"/>
          <w:rFonts w:ascii="Times New Roman" w:eastAsiaTheme="majorEastAsia" w:hAnsi="Times New Roman" w:cs="Times New Roman"/>
          <w:sz w:val="24"/>
          <w:szCs w:val="24"/>
        </w:rPr>
        <w:t>;</w:t>
      </w:r>
      <w:r w:rsidRPr="002019BF">
        <w:rPr>
          <w:rStyle w:val="cf01"/>
          <w:rFonts w:ascii="Times New Roman" w:eastAsiaTheme="majorEastAsia" w:hAnsi="Times New Roman" w:cs="Times New Roman"/>
          <w:sz w:val="24"/>
          <w:szCs w:val="24"/>
        </w:rPr>
        <w:t xml:space="preserve"> predict and evaluate these impacts and determine the significance of these impacts in the light of technical and regulatory </w:t>
      </w:r>
      <w:r w:rsidR="00821275" w:rsidRPr="002019BF">
        <w:rPr>
          <w:rStyle w:val="cf01"/>
          <w:rFonts w:ascii="Times New Roman" w:eastAsiaTheme="majorEastAsia" w:hAnsi="Times New Roman" w:cs="Times New Roman"/>
          <w:sz w:val="24"/>
          <w:szCs w:val="24"/>
        </w:rPr>
        <w:t>concerns.</w:t>
      </w:r>
    </w:p>
    <w:p w14:paraId="10CEA7E4" w14:textId="31830A39" w:rsidR="00607706" w:rsidRPr="00607706" w:rsidRDefault="00607706" w:rsidP="00607706">
      <w:pPr>
        <w:pStyle w:val="Normal0"/>
        <w:numPr>
          <w:ilvl w:val="0"/>
          <w:numId w:val="44"/>
        </w:numPr>
        <w:spacing w:after="120"/>
        <w:contextualSpacing w:val="0"/>
        <w:rPr>
          <w:rFonts w:ascii="Times New Roman" w:hAnsi="Times New Roman" w:cs="Times New Roman"/>
          <w:sz w:val="24"/>
          <w:szCs w:val="24"/>
        </w:rPr>
      </w:pPr>
      <w:r w:rsidRPr="00607706">
        <w:rPr>
          <w:rFonts w:ascii="Times New Roman" w:hAnsi="Times New Roman" w:cs="Times New Roman"/>
          <w:sz w:val="24"/>
          <w:szCs w:val="24"/>
        </w:rPr>
        <w:t xml:space="preserve">To assess the cumulative impacts of </w:t>
      </w:r>
      <w:r>
        <w:rPr>
          <w:rFonts w:ascii="Times New Roman" w:hAnsi="Times New Roman" w:cs="Times New Roman"/>
          <w:sz w:val="24"/>
          <w:szCs w:val="24"/>
        </w:rPr>
        <w:t xml:space="preserve">existing energy sector </w:t>
      </w:r>
      <w:r w:rsidRPr="00607706">
        <w:rPr>
          <w:rFonts w:ascii="Times New Roman" w:hAnsi="Times New Roman" w:cs="Times New Roman"/>
          <w:sz w:val="24"/>
          <w:szCs w:val="24"/>
        </w:rPr>
        <w:t xml:space="preserve">projects together with </w:t>
      </w:r>
      <w:r w:rsidR="006A7370">
        <w:rPr>
          <w:rFonts w:ascii="Times New Roman" w:hAnsi="Times New Roman" w:cs="Times New Roman"/>
          <w:sz w:val="24"/>
          <w:szCs w:val="24"/>
        </w:rPr>
        <w:t>the</w:t>
      </w:r>
      <w:r w:rsidRPr="00607706">
        <w:rPr>
          <w:rFonts w:ascii="Times New Roman" w:hAnsi="Times New Roman" w:cs="Times New Roman"/>
          <w:sz w:val="24"/>
          <w:szCs w:val="24"/>
        </w:rPr>
        <w:t xml:space="preserve"> past, </w:t>
      </w:r>
      <w:r w:rsidR="00A03107" w:rsidRPr="00607706">
        <w:rPr>
          <w:rFonts w:ascii="Times New Roman" w:hAnsi="Times New Roman" w:cs="Times New Roman"/>
          <w:sz w:val="24"/>
          <w:szCs w:val="24"/>
        </w:rPr>
        <w:t>ongoing,</w:t>
      </w:r>
      <w:r w:rsidRPr="00607706">
        <w:rPr>
          <w:rFonts w:ascii="Times New Roman" w:hAnsi="Times New Roman" w:cs="Times New Roman"/>
          <w:sz w:val="24"/>
          <w:szCs w:val="24"/>
        </w:rPr>
        <w:t xml:space="preserve"> and planned </w:t>
      </w:r>
      <w:r>
        <w:rPr>
          <w:rFonts w:ascii="Times New Roman" w:hAnsi="Times New Roman" w:cs="Times New Roman"/>
          <w:sz w:val="24"/>
          <w:szCs w:val="24"/>
        </w:rPr>
        <w:t>energy</w:t>
      </w:r>
      <w:r w:rsidRPr="00607706">
        <w:rPr>
          <w:rFonts w:ascii="Times New Roman" w:hAnsi="Times New Roman" w:cs="Times New Roman"/>
          <w:sz w:val="24"/>
          <w:szCs w:val="24"/>
        </w:rPr>
        <w:t xml:space="preserve"> interventions </w:t>
      </w:r>
      <w:r>
        <w:rPr>
          <w:rFonts w:ascii="Times New Roman" w:hAnsi="Times New Roman" w:cs="Times New Roman"/>
          <w:sz w:val="24"/>
          <w:szCs w:val="24"/>
        </w:rPr>
        <w:t xml:space="preserve">in Somalia </w:t>
      </w:r>
      <w:r w:rsidRPr="00607706">
        <w:rPr>
          <w:rFonts w:ascii="Times New Roman" w:hAnsi="Times New Roman" w:cs="Times New Roman"/>
          <w:sz w:val="24"/>
          <w:szCs w:val="24"/>
        </w:rPr>
        <w:t>and prioritize Valued Environmental and Social Components (VECs);</w:t>
      </w:r>
      <w:r w:rsidRPr="00607706">
        <w:rPr>
          <w:rStyle w:val="FootnoteReference"/>
          <w:rFonts w:ascii="Times New Roman" w:hAnsi="Times New Roman" w:cs="Times New Roman"/>
          <w:sz w:val="24"/>
          <w:szCs w:val="24"/>
        </w:rPr>
        <w:footnoteReference w:id="4"/>
      </w:r>
    </w:p>
    <w:p w14:paraId="049405BA" w14:textId="77777777" w:rsidR="00DE06FF" w:rsidRPr="004A0F0D" w:rsidRDefault="00607706" w:rsidP="00A7704B">
      <w:pPr>
        <w:pStyle w:val="Normal0"/>
        <w:numPr>
          <w:ilvl w:val="0"/>
          <w:numId w:val="44"/>
        </w:numPr>
        <w:spacing w:after="60"/>
        <w:contextualSpacing w:val="0"/>
        <w:rPr>
          <w:rFonts w:ascii="Times New Roman" w:hAnsi="Times New Roman" w:cs="Times New Roman"/>
        </w:rPr>
      </w:pPr>
      <w:r w:rsidRPr="006A615B">
        <w:rPr>
          <w:rFonts w:ascii="Times New Roman" w:hAnsi="Times New Roman" w:cs="Times New Roman"/>
          <w:sz w:val="24"/>
          <w:szCs w:val="24"/>
        </w:rPr>
        <w:t xml:space="preserve">To contribute towards embedding good practices on greening the energy sector, biodiversity conservation and protection, building resilience and overall environmental and social </w:t>
      </w:r>
      <w:r w:rsidR="007E2BC9">
        <w:rPr>
          <w:rFonts w:ascii="Times New Roman" w:hAnsi="Times New Roman" w:cs="Times New Roman"/>
          <w:sz w:val="24"/>
          <w:szCs w:val="24"/>
        </w:rPr>
        <w:t>sustainability</w:t>
      </w:r>
      <w:r w:rsidRPr="006A615B">
        <w:rPr>
          <w:rFonts w:ascii="Times New Roman" w:hAnsi="Times New Roman" w:cs="Times New Roman"/>
          <w:sz w:val="24"/>
          <w:szCs w:val="24"/>
        </w:rPr>
        <w:t xml:space="preserve"> into energy sector development in Somalia, </w:t>
      </w:r>
      <w:r w:rsidR="00F40E5C">
        <w:rPr>
          <w:rFonts w:ascii="Times New Roman" w:hAnsi="Times New Roman" w:cs="Times New Roman"/>
          <w:sz w:val="24"/>
          <w:szCs w:val="24"/>
        </w:rPr>
        <w:t xml:space="preserve">and </w:t>
      </w:r>
    </w:p>
    <w:p w14:paraId="7A2F7788" w14:textId="29499D08" w:rsidR="00607706" w:rsidRPr="006018F7" w:rsidRDefault="00DE06FF" w:rsidP="00A7704B">
      <w:pPr>
        <w:pStyle w:val="Normal0"/>
        <w:numPr>
          <w:ilvl w:val="0"/>
          <w:numId w:val="44"/>
        </w:numPr>
        <w:spacing w:after="60"/>
        <w:contextualSpacing w:val="0"/>
        <w:rPr>
          <w:rFonts w:ascii="Times New Roman" w:hAnsi="Times New Roman" w:cs="Times New Roman"/>
        </w:rPr>
      </w:pPr>
      <w:r>
        <w:rPr>
          <w:rFonts w:ascii="Times New Roman" w:hAnsi="Times New Roman" w:cs="Times New Roman"/>
          <w:sz w:val="24"/>
          <w:szCs w:val="24"/>
        </w:rPr>
        <w:t>P</w:t>
      </w:r>
      <w:r w:rsidR="00F40E5C">
        <w:rPr>
          <w:rFonts w:ascii="Times New Roman" w:hAnsi="Times New Roman" w:cs="Times New Roman"/>
          <w:sz w:val="24"/>
          <w:szCs w:val="24"/>
        </w:rPr>
        <w:t xml:space="preserve">rovide guidance for integrating environmental and social considerations </w:t>
      </w:r>
      <w:r w:rsidR="00607706" w:rsidRPr="006A615B">
        <w:rPr>
          <w:rFonts w:ascii="Times New Roman" w:hAnsi="Times New Roman" w:cs="Times New Roman"/>
          <w:sz w:val="24"/>
          <w:szCs w:val="24"/>
        </w:rPr>
        <w:t xml:space="preserve">into feasibility studies, ESIAs, engineering designs and implementation of </w:t>
      </w:r>
      <w:r w:rsidR="002A52F2">
        <w:rPr>
          <w:rFonts w:ascii="Times New Roman" w:hAnsi="Times New Roman" w:cs="Times New Roman"/>
          <w:sz w:val="24"/>
          <w:szCs w:val="24"/>
        </w:rPr>
        <w:t>electricity sector projects</w:t>
      </w:r>
      <w:r w:rsidR="00654A44">
        <w:rPr>
          <w:rFonts w:ascii="Times New Roman" w:hAnsi="Times New Roman" w:cs="Times New Roman"/>
          <w:sz w:val="24"/>
          <w:szCs w:val="24"/>
        </w:rPr>
        <w:t xml:space="preserve"> (including the energy sector recovery sub-projects)</w:t>
      </w:r>
      <w:r w:rsidR="00244C0E">
        <w:rPr>
          <w:rFonts w:ascii="Times New Roman" w:hAnsi="Times New Roman" w:cs="Times New Roman"/>
          <w:sz w:val="24"/>
          <w:szCs w:val="24"/>
        </w:rPr>
        <w:t xml:space="preserve">, thereby enhancing the overall sustainability of the </w:t>
      </w:r>
      <w:r w:rsidR="000165B4">
        <w:rPr>
          <w:rFonts w:ascii="Times New Roman" w:hAnsi="Times New Roman" w:cs="Times New Roman"/>
          <w:sz w:val="24"/>
          <w:szCs w:val="24"/>
        </w:rPr>
        <w:t>sector</w:t>
      </w:r>
      <w:r w:rsidR="00607706" w:rsidRPr="006A615B">
        <w:rPr>
          <w:rFonts w:ascii="Times New Roman" w:hAnsi="Times New Roman" w:cs="Times New Roman"/>
          <w:sz w:val="24"/>
          <w:szCs w:val="24"/>
        </w:rPr>
        <w:t xml:space="preserve">. </w:t>
      </w:r>
    </w:p>
    <w:p w14:paraId="11156888" w14:textId="020195C9" w:rsidR="00E339F6" w:rsidRPr="00DF6A15" w:rsidRDefault="001605D0" w:rsidP="00E339F6">
      <w:pPr>
        <w:pStyle w:val="pf0"/>
        <w:numPr>
          <w:ilvl w:val="0"/>
          <w:numId w:val="44"/>
        </w:numPr>
      </w:pPr>
      <w:r w:rsidRPr="006018F7">
        <w:rPr>
          <w:rStyle w:val="cf01"/>
          <w:rFonts w:ascii="Times New Roman" w:eastAsiaTheme="majorEastAsia" w:hAnsi="Times New Roman" w:cs="Times New Roman"/>
          <w:sz w:val="24"/>
          <w:szCs w:val="24"/>
        </w:rPr>
        <w:t xml:space="preserve">Promote stakeholder engagement and participatory decision-making </w:t>
      </w:r>
      <w:r w:rsidR="000165B4">
        <w:rPr>
          <w:rStyle w:val="cf01"/>
          <w:rFonts w:ascii="Times New Roman" w:eastAsiaTheme="majorEastAsia" w:hAnsi="Times New Roman" w:cs="Times New Roman"/>
          <w:sz w:val="24"/>
          <w:szCs w:val="24"/>
        </w:rPr>
        <w:t>in the sector</w:t>
      </w:r>
      <w:r w:rsidR="00F26E23">
        <w:rPr>
          <w:rStyle w:val="cf01"/>
          <w:rFonts w:ascii="Times New Roman" w:eastAsiaTheme="majorEastAsia" w:hAnsi="Times New Roman" w:cs="Times New Roman"/>
          <w:sz w:val="24"/>
          <w:szCs w:val="24"/>
        </w:rPr>
        <w:t>, making it effective and responsive to consumer demands</w:t>
      </w:r>
      <w:r w:rsidR="00B05254">
        <w:rPr>
          <w:rStyle w:val="cf01"/>
          <w:rFonts w:ascii="Times New Roman" w:eastAsiaTheme="majorEastAsia" w:hAnsi="Times New Roman" w:cs="Times New Roman"/>
          <w:sz w:val="24"/>
          <w:szCs w:val="24"/>
        </w:rPr>
        <w:t xml:space="preserve"> and concerns</w:t>
      </w:r>
      <w:r w:rsidRPr="006018F7">
        <w:rPr>
          <w:rStyle w:val="cf01"/>
          <w:rFonts w:ascii="Times New Roman" w:eastAsiaTheme="majorEastAsia" w:hAnsi="Times New Roman" w:cs="Times New Roman"/>
          <w:sz w:val="24"/>
          <w:szCs w:val="24"/>
        </w:rPr>
        <w:t>.</w:t>
      </w:r>
    </w:p>
    <w:p w14:paraId="7F272D8A" w14:textId="3EE09A11" w:rsidR="00E339F6" w:rsidRPr="00763B8E" w:rsidRDefault="00E339F6" w:rsidP="00763B8E">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3. Scope of Work</w:t>
      </w:r>
      <w:r w:rsidR="00F813AE">
        <w:rPr>
          <w:rFonts w:ascii="Times New Roman" w:hAnsi="Times New Roman" w:cs="Times New Roman"/>
          <w:b/>
          <w:bCs/>
          <w:color w:val="auto"/>
          <w:sz w:val="28"/>
          <w:szCs w:val="28"/>
        </w:rPr>
        <w:t>:</w:t>
      </w:r>
    </w:p>
    <w:p w14:paraId="47E9A434" w14:textId="77CE753D" w:rsidR="00AF03E9" w:rsidRDefault="005F6B3C" w:rsidP="00DF6A15">
      <w:pPr>
        <w:jc w:val="both"/>
      </w:pPr>
      <w:r w:rsidRPr="00661D03">
        <w:t xml:space="preserve">The scope </w:t>
      </w:r>
      <w:r w:rsidR="00661D03">
        <w:t>of</w:t>
      </w:r>
      <w:r w:rsidRPr="00661D03">
        <w:t xml:space="preserve"> work of this assignment is d</w:t>
      </w:r>
      <w:r w:rsidR="00AF03E9" w:rsidRPr="00661D03">
        <w:t xml:space="preserve">escribing the regulatory and institutional framework and assessing the Federal Government of Somalia's capacity for environmental, social, and occupational health and safety assessment and management, while identifying opportunities to introduce global best practices in developing the electricity sector; identifying general and strategic environmental and social </w:t>
      </w:r>
      <w:r w:rsidRPr="00661D03">
        <w:t>impact</w:t>
      </w:r>
      <w:r w:rsidR="00AF03E9" w:rsidRPr="00661D03">
        <w:t xml:space="preserve">s resulting from </w:t>
      </w:r>
      <w:r w:rsidRPr="00661D03">
        <w:t>the</w:t>
      </w:r>
      <w:r w:rsidR="00AF03E9" w:rsidRPr="00661D03">
        <w:t xml:space="preserve"> development</w:t>
      </w:r>
      <w:r w:rsidRPr="00661D03">
        <w:t xml:space="preserve"> of Somalia’s electricity sector</w:t>
      </w:r>
      <w:r w:rsidR="00AF03E9" w:rsidRPr="00661D03">
        <w:t>; proposing mitigation and monitoring measures based on</w:t>
      </w:r>
      <w:r w:rsidRPr="00661D03">
        <w:t xml:space="preserve"> country laws,</w:t>
      </w:r>
      <w:r w:rsidR="00AF03E9" w:rsidRPr="00661D03">
        <w:t xml:space="preserve"> global best practices; formulating recommendations and a SESA Action Plan; and conducting final consultations, review, and approval.</w:t>
      </w:r>
      <w:r w:rsidR="004C6B5A">
        <w:t xml:space="preserve"> </w:t>
      </w:r>
      <w:r w:rsidR="004C6B5A" w:rsidRPr="004C6B5A">
        <w:t>The study will:</w:t>
      </w:r>
    </w:p>
    <w:p w14:paraId="446601F6" w14:textId="52E57D94" w:rsidR="004C6B5A" w:rsidRPr="008F2A51" w:rsidRDefault="004C6B5A" w:rsidP="008F2A51">
      <w:pPr>
        <w:pStyle w:val="ListParagraph"/>
        <w:numPr>
          <w:ilvl w:val="0"/>
          <w:numId w:val="50"/>
        </w:numPr>
        <w:spacing w:before="100" w:beforeAutospacing="1" w:after="100" w:afterAutospacing="1"/>
        <w:jc w:val="both"/>
        <w:rPr>
          <w:rFonts w:ascii="Times New Roman" w:hAnsi="Times New Roman" w:cs="Times New Roman"/>
        </w:rPr>
      </w:pPr>
      <w:r w:rsidRPr="008F2A51">
        <w:rPr>
          <w:rFonts w:ascii="Times New Roman" w:hAnsi="Times New Roman" w:cs="Times New Roman"/>
        </w:rPr>
        <w:t xml:space="preserve">Adhere to relevant national laws and regulations including but not limited to the; National Environmental Policy (NEP), National Climate Change Policy, and World Bank’s </w:t>
      </w:r>
      <w:r w:rsidRPr="008F2A51">
        <w:rPr>
          <w:rFonts w:ascii="Times New Roman" w:hAnsi="Times New Roman" w:cs="Times New Roman"/>
          <w:color w:val="000000"/>
          <w:kern w:val="0"/>
        </w:rPr>
        <w:t>ESS and</w:t>
      </w:r>
      <w:r w:rsidRPr="008F2A51">
        <w:rPr>
          <w:rFonts w:ascii="Times New Roman" w:hAnsi="Times New Roman" w:cs="Times New Roman"/>
        </w:rPr>
        <w:t xml:space="preserve"> Environmental, Health, and Safety Guidelines for Electric Power Transmission and Distribution. </w:t>
      </w:r>
    </w:p>
    <w:p w14:paraId="5D3BF91D" w14:textId="3F2BE656" w:rsidR="000B09C7" w:rsidRPr="00677DC5" w:rsidRDefault="000B09C7" w:rsidP="008F2A51">
      <w:pPr>
        <w:pStyle w:val="ListParagraph"/>
        <w:numPr>
          <w:ilvl w:val="0"/>
          <w:numId w:val="50"/>
        </w:numPr>
      </w:pPr>
      <w:r w:rsidRPr="008F2A51">
        <w:rPr>
          <w:rFonts w:ascii="Times New Roman" w:hAnsi="Times New Roman" w:cs="Times New Roman"/>
        </w:rPr>
        <w:lastRenderedPageBreak/>
        <w:t>Cover national</w:t>
      </w:r>
      <w:r w:rsidR="006C0D58">
        <w:rPr>
          <w:rFonts w:ascii="Times New Roman" w:hAnsi="Times New Roman" w:cs="Times New Roman"/>
        </w:rPr>
        <w:t xml:space="preserve"> and </w:t>
      </w:r>
      <w:r w:rsidRPr="008F2A51">
        <w:rPr>
          <w:rFonts w:ascii="Times New Roman" w:hAnsi="Times New Roman" w:cs="Times New Roman"/>
        </w:rPr>
        <w:t>sub-national</w:t>
      </w:r>
      <w:r w:rsidR="006C0D58">
        <w:rPr>
          <w:rFonts w:ascii="Times New Roman" w:hAnsi="Times New Roman" w:cs="Times New Roman"/>
        </w:rPr>
        <w:t xml:space="preserve"> </w:t>
      </w:r>
      <w:r w:rsidRPr="008F2A51">
        <w:rPr>
          <w:rFonts w:ascii="Times New Roman" w:hAnsi="Times New Roman" w:cs="Times New Roman"/>
        </w:rPr>
        <w:t>electricity sector development.</w:t>
      </w:r>
    </w:p>
    <w:p w14:paraId="4D220906" w14:textId="4DC9A5E7" w:rsidR="00E339F6" w:rsidRPr="00DF6A15" w:rsidRDefault="000B09C7" w:rsidP="00E339F6">
      <w:pPr>
        <w:pStyle w:val="ListParagraph"/>
        <w:numPr>
          <w:ilvl w:val="0"/>
          <w:numId w:val="50"/>
        </w:numPr>
        <w:spacing w:before="100" w:beforeAutospacing="1" w:after="100" w:afterAutospacing="1"/>
        <w:jc w:val="both"/>
      </w:pPr>
      <w:r w:rsidRPr="008F2A51">
        <w:rPr>
          <w:rFonts w:ascii="Times New Roman" w:hAnsi="Times New Roman" w:cs="Times New Roman"/>
        </w:rPr>
        <w:t>Identify relevant government institutions such as the Minist</w:t>
      </w:r>
      <w:r w:rsidR="006C0D58">
        <w:rPr>
          <w:rFonts w:ascii="Times New Roman" w:hAnsi="Times New Roman" w:cs="Times New Roman"/>
        </w:rPr>
        <w:t>ries</w:t>
      </w:r>
      <w:r w:rsidRPr="008F2A51">
        <w:rPr>
          <w:rFonts w:ascii="Times New Roman" w:hAnsi="Times New Roman" w:cs="Times New Roman"/>
        </w:rPr>
        <w:t xml:space="preserve"> of Energy and Water Resources at the Federal </w:t>
      </w:r>
      <w:r w:rsidR="006C0D58">
        <w:rPr>
          <w:rFonts w:ascii="Times New Roman" w:hAnsi="Times New Roman" w:cs="Times New Roman"/>
        </w:rPr>
        <w:t xml:space="preserve">and </w:t>
      </w:r>
      <w:r w:rsidRPr="008F2A51">
        <w:rPr>
          <w:rFonts w:ascii="Times New Roman" w:hAnsi="Times New Roman" w:cs="Times New Roman"/>
        </w:rPr>
        <w:t>State-level</w:t>
      </w:r>
      <w:r w:rsidR="006C0D58">
        <w:rPr>
          <w:rFonts w:ascii="Times New Roman" w:hAnsi="Times New Roman" w:cs="Times New Roman"/>
        </w:rPr>
        <w:t xml:space="preserve">s, </w:t>
      </w:r>
      <w:r w:rsidRPr="008F2A51">
        <w:rPr>
          <w:rFonts w:ascii="Times New Roman" w:hAnsi="Times New Roman" w:cs="Times New Roman"/>
        </w:rPr>
        <w:t>the Ministr</w:t>
      </w:r>
      <w:r w:rsidR="006C0D58">
        <w:rPr>
          <w:rFonts w:ascii="Times New Roman" w:hAnsi="Times New Roman" w:cs="Times New Roman"/>
        </w:rPr>
        <w:t>ies</w:t>
      </w:r>
      <w:r w:rsidRPr="008F2A51">
        <w:rPr>
          <w:rFonts w:ascii="Times New Roman" w:hAnsi="Times New Roman" w:cs="Times New Roman"/>
        </w:rPr>
        <w:t xml:space="preserve"> of Environment and Climate Change at both Federal and State levels, National Electricity </w:t>
      </w:r>
      <w:r w:rsidR="006C0D58">
        <w:rPr>
          <w:rFonts w:ascii="Times New Roman" w:hAnsi="Times New Roman" w:cs="Times New Roman"/>
        </w:rPr>
        <w:t>A</w:t>
      </w:r>
      <w:r w:rsidRPr="008F2A51">
        <w:rPr>
          <w:rFonts w:ascii="Times New Roman" w:hAnsi="Times New Roman" w:cs="Times New Roman"/>
        </w:rPr>
        <w:t>uthorit</w:t>
      </w:r>
      <w:r w:rsidR="006C0D58">
        <w:rPr>
          <w:rFonts w:ascii="Times New Roman" w:hAnsi="Times New Roman" w:cs="Times New Roman"/>
        </w:rPr>
        <w:t>y, Electricity Service Providers (ESPs) and Energy Working Sector Group (EWSG)</w:t>
      </w:r>
      <w:r w:rsidRPr="008F2A51">
        <w:rPr>
          <w:rFonts w:ascii="Times New Roman" w:hAnsi="Times New Roman" w:cs="Times New Roman"/>
        </w:rPr>
        <w:t>.</w:t>
      </w:r>
    </w:p>
    <w:p w14:paraId="60C5042B" w14:textId="49835AA3" w:rsidR="00E339F6" w:rsidRPr="00763B8E" w:rsidRDefault="00E339F6" w:rsidP="00763B8E">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3.1. Scoping Study</w:t>
      </w:r>
    </w:p>
    <w:p w14:paraId="013DCE3A" w14:textId="77777777" w:rsidR="00E339F6" w:rsidRPr="00763B8E" w:rsidRDefault="00E339F6" w:rsidP="00DF6A15">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3.1.1. Overview of the Electricity Sector</w:t>
      </w:r>
    </w:p>
    <w:p w14:paraId="53560CFB" w14:textId="59EAB729" w:rsidR="004B4802" w:rsidRPr="004B4802" w:rsidRDefault="004B4802" w:rsidP="004B4802">
      <w:pPr>
        <w:rPr>
          <w:bCs/>
        </w:rPr>
      </w:pPr>
      <w:r w:rsidRPr="004B4802">
        <w:rPr>
          <w:bCs/>
        </w:rPr>
        <w:t xml:space="preserve">This shall include but shall not be limited to description of the policy making and/or planning process for the sector, description of the sector strategic document main features, the policy, institutional and legal framework relating to the sector, </w:t>
      </w:r>
      <w:r w:rsidR="00D25FE4" w:rsidRPr="004B4802">
        <w:rPr>
          <w:bCs/>
        </w:rPr>
        <w:t>institutions,</w:t>
      </w:r>
      <w:r w:rsidRPr="004B4802">
        <w:rPr>
          <w:bCs/>
        </w:rPr>
        <w:t xml:space="preserve"> and entities responsible for environment, social, health and safety and climate change issues relevant to the sector. Further, relevant environmental and climate change policy and legislation (including bilateral, regional, and international commitments) as well as national environmental and climate change policy objectives relevant to the sector shall be described.  </w:t>
      </w:r>
    </w:p>
    <w:p w14:paraId="3B1D2A10" w14:textId="77777777" w:rsidR="00E339F6" w:rsidRPr="00DF6A15" w:rsidRDefault="00E339F6" w:rsidP="00E339F6"/>
    <w:p w14:paraId="68E37AFB" w14:textId="380350FF" w:rsidR="00E339F6" w:rsidRPr="00DF6A15" w:rsidRDefault="00E339F6" w:rsidP="00DF6A15">
      <w:pPr>
        <w:pStyle w:val="ListParagraph"/>
        <w:numPr>
          <w:ilvl w:val="0"/>
          <w:numId w:val="18"/>
        </w:numPr>
        <w:rPr>
          <w:rFonts w:ascii="Times New Roman" w:hAnsi="Times New Roman" w:cs="Times New Roman"/>
        </w:rPr>
      </w:pPr>
      <w:r w:rsidRPr="00DF6A15">
        <w:rPr>
          <w:rFonts w:ascii="Times New Roman" w:hAnsi="Times New Roman" w:cs="Times New Roman"/>
        </w:rPr>
        <w:t>Review existing plans, policies, and initiatives related to the Electricity Sector</w:t>
      </w:r>
      <w:r w:rsidR="00371650">
        <w:rPr>
          <w:rFonts w:ascii="Times New Roman" w:hAnsi="Times New Roman" w:cs="Times New Roman"/>
        </w:rPr>
        <w:t xml:space="preserve"> in Somalia</w:t>
      </w:r>
      <w:r w:rsidRPr="00DF6A15">
        <w:rPr>
          <w:rFonts w:ascii="Times New Roman" w:hAnsi="Times New Roman" w:cs="Times New Roman"/>
        </w:rPr>
        <w:t>.</w:t>
      </w:r>
    </w:p>
    <w:p w14:paraId="79F1EC50" w14:textId="3D1B945A" w:rsidR="00E339F6" w:rsidRPr="00DF6A15" w:rsidRDefault="00E339F6" w:rsidP="00DF6A15">
      <w:pPr>
        <w:pStyle w:val="ListParagraph"/>
        <w:numPr>
          <w:ilvl w:val="0"/>
          <w:numId w:val="18"/>
        </w:numPr>
        <w:rPr>
          <w:rFonts w:ascii="Times New Roman" w:hAnsi="Times New Roman" w:cs="Times New Roman"/>
        </w:rPr>
      </w:pPr>
      <w:r w:rsidRPr="00DF6A15">
        <w:rPr>
          <w:rFonts w:ascii="Times New Roman" w:hAnsi="Times New Roman" w:cs="Times New Roman"/>
        </w:rPr>
        <w:t xml:space="preserve">Identify key stakeholders and their roles in </w:t>
      </w:r>
      <w:r w:rsidR="00371650">
        <w:rPr>
          <w:rFonts w:ascii="Times New Roman" w:hAnsi="Times New Roman" w:cs="Times New Roman"/>
        </w:rPr>
        <w:t xml:space="preserve">the </w:t>
      </w:r>
      <w:r w:rsidRPr="00DF6A15">
        <w:rPr>
          <w:rFonts w:ascii="Times New Roman" w:hAnsi="Times New Roman" w:cs="Times New Roman"/>
        </w:rPr>
        <w:t>sector development.</w:t>
      </w:r>
    </w:p>
    <w:p w14:paraId="07953334" w14:textId="63D4E757" w:rsidR="00F07E36" w:rsidRPr="00763B8E" w:rsidRDefault="00E339F6" w:rsidP="00E339F6">
      <w:pPr>
        <w:pStyle w:val="ListParagraph"/>
        <w:numPr>
          <w:ilvl w:val="0"/>
          <w:numId w:val="18"/>
        </w:numPr>
        <w:rPr>
          <w:rFonts w:ascii="Times New Roman" w:hAnsi="Times New Roman" w:cs="Times New Roman"/>
        </w:rPr>
      </w:pPr>
      <w:r w:rsidRPr="00DF6A15">
        <w:rPr>
          <w:rFonts w:ascii="Times New Roman" w:hAnsi="Times New Roman" w:cs="Times New Roman"/>
        </w:rPr>
        <w:t>Assess the institutional and legislative framework governing the Electricity Sector.</w:t>
      </w:r>
    </w:p>
    <w:p w14:paraId="131BA32A" w14:textId="3E600DAF" w:rsidR="00E339F6" w:rsidRPr="00763B8E" w:rsidRDefault="00E339F6" w:rsidP="00DF6A15">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3.1.2. Environmental and Social Baseline Assessment</w:t>
      </w:r>
    </w:p>
    <w:p w14:paraId="264F4818" w14:textId="2DA233CC" w:rsidR="00E339F6" w:rsidRPr="00DF6A15" w:rsidRDefault="00DF6A15" w:rsidP="00E339F6">
      <w:pPr>
        <w:rPr>
          <w:lang w:val="en-GB"/>
        </w:rPr>
      </w:pPr>
      <w:r w:rsidRPr="00DF6A15">
        <w:rPr>
          <w:lang w:val="en-GB"/>
        </w:rPr>
        <w:t>A description and appraisal must be made of the current state of the environment</w:t>
      </w:r>
      <w:r w:rsidR="00E17507">
        <w:rPr>
          <w:lang w:val="en-GB"/>
        </w:rPr>
        <w:t>al</w:t>
      </w:r>
      <w:r>
        <w:rPr>
          <w:lang w:val="en-GB"/>
        </w:rPr>
        <w:t xml:space="preserve"> and societ</w:t>
      </w:r>
      <w:r w:rsidR="00E17507">
        <w:rPr>
          <w:lang w:val="en-GB"/>
        </w:rPr>
        <w:t>al concerns related to the energy sector</w:t>
      </w:r>
      <w:r w:rsidRPr="00DF6A15">
        <w:rPr>
          <w:lang w:val="en-GB"/>
        </w:rPr>
        <w:t xml:space="preserve">, focusing on those key environmental </w:t>
      </w:r>
      <w:r>
        <w:rPr>
          <w:lang w:val="en-GB"/>
        </w:rPr>
        <w:t xml:space="preserve">and social </w:t>
      </w:r>
      <w:r w:rsidRPr="00DF6A15">
        <w:rPr>
          <w:lang w:val="en-GB"/>
        </w:rPr>
        <w:t xml:space="preserve">components identified by the scoping study. The trends for the various environmental </w:t>
      </w:r>
      <w:r>
        <w:rPr>
          <w:lang w:val="en-GB"/>
        </w:rPr>
        <w:t xml:space="preserve">and social </w:t>
      </w:r>
      <w:r w:rsidRPr="00DF6A15">
        <w:rPr>
          <w:lang w:val="en-GB"/>
        </w:rPr>
        <w:t xml:space="preserve">components must be identified and a projection must be made of the state of the environment </w:t>
      </w:r>
      <w:r>
        <w:rPr>
          <w:lang w:val="en-GB"/>
        </w:rPr>
        <w:t xml:space="preserve">and social </w:t>
      </w:r>
      <w:r w:rsidRPr="00DF6A15">
        <w:rPr>
          <w:lang w:val="en-GB"/>
        </w:rPr>
        <w:t>on the short-, medium- and long-term in the assumption of no implementation of the sector programme. External factors must be considered, including the influence of other sectoral policies. If the “no implementation” scenario is unrealistic the most probable “business as usual” scenario should be selected. The geographical (or mapping) units to be addressed should be described, if relevant.</w:t>
      </w:r>
      <w:r>
        <w:rPr>
          <w:lang w:val="en-GB"/>
        </w:rPr>
        <w:t xml:space="preserve"> t</w:t>
      </w:r>
      <w:r w:rsidR="0012574B" w:rsidRPr="00DF6A15">
        <w:t>his stage will identify and assess potential environmental and social impacts associated with electricity sector development in Somalia. Mitigation measures and monitoring requirements will be proposed to address identified impacts and issues.</w:t>
      </w:r>
    </w:p>
    <w:p w14:paraId="4A8D7F49" w14:textId="5243B811" w:rsidR="00E339F6" w:rsidRPr="00DF6A15" w:rsidRDefault="00552F8F" w:rsidP="00DF6A15">
      <w:pPr>
        <w:pStyle w:val="ListParagraph"/>
        <w:numPr>
          <w:ilvl w:val="0"/>
          <w:numId w:val="19"/>
        </w:numPr>
        <w:rPr>
          <w:rFonts w:ascii="Times New Roman" w:hAnsi="Times New Roman" w:cs="Times New Roman"/>
        </w:rPr>
      </w:pPr>
      <w:r w:rsidRPr="00DF6A15">
        <w:rPr>
          <w:rFonts w:ascii="Times New Roman" w:hAnsi="Times New Roman" w:cs="Times New Roman"/>
        </w:rPr>
        <w:t>Assess</w:t>
      </w:r>
      <w:r w:rsidR="00E339F6" w:rsidRPr="00DF6A15">
        <w:rPr>
          <w:rFonts w:ascii="Times New Roman" w:hAnsi="Times New Roman" w:cs="Times New Roman"/>
        </w:rPr>
        <w:t xml:space="preserve"> the current environmental and social conditions in areas affected by the Electricity Sector development.</w:t>
      </w:r>
    </w:p>
    <w:p w14:paraId="3158E0B2" w14:textId="77777777" w:rsidR="00E339F6" w:rsidRPr="00DF6A15" w:rsidRDefault="00E339F6" w:rsidP="00DF6A15">
      <w:pPr>
        <w:pStyle w:val="ListParagraph"/>
        <w:numPr>
          <w:ilvl w:val="0"/>
          <w:numId w:val="19"/>
        </w:numPr>
        <w:rPr>
          <w:rFonts w:ascii="Times New Roman" w:hAnsi="Times New Roman" w:cs="Times New Roman"/>
        </w:rPr>
      </w:pPr>
      <w:r w:rsidRPr="00DF6A15">
        <w:rPr>
          <w:rFonts w:ascii="Times New Roman" w:hAnsi="Times New Roman" w:cs="Times New Roman"/>
        </w:rPr>
        <w:t>Identify environmental resources, including water bodies, land use patterns, biodiversity, and socio-economic conditions.</w:t>
      </w:r>
    </w:p>
    <w:p w14:paraId="39B0E9F3" w14:textId="5570238B" w:rsidR="00E339F6" w:rsidRPr="00DF6A15" w:rsidRDefault="00E339F6" w:rsidP="00DF6A15">
      <w:pPr>
        <w:pStyle w:val="ListParagraph"/>
        <w:numPr>
          <w:ilvl w:val="0"/>
          <w:numId w:val="19"/>
        </w:numPr>
        <w:rPr>
          <w:rFonts w:ascii="Times New Roman" w:hAnsi="Times New Roman" w:cs="Times New Roman"/>
        </w:rPr>
      </w:pPr>
      <w:r w:rsidRPr="00DF6A15">
        <w:rPr>
          <w:rFonts w:ascii="Times New Roman" w:hAnsi="Times New Roman" w:cs="Times New Roman"/>
        </w:rPr>
        <w:t>Analyze historical trends and potential future scenarios related to energy demand and consumption patterns.</w:t>
      </w:r>
      <w:r w:rsidR="00745442">
        <w:rPr>
          <w:rFonts w:ascii="Times New Roman" w:hAnsi="Times New Roman" w:cs="Times New Roman"/>
        </w:rPr>
        <w:t xml:space="preserve"> As part of this assessment, analyze current levels of energy access among small and microenterprises, informal settlements and urban poor households. </w:t>
      </w:r>
    </w:p>
    <w:p w14:paraId="23DEBAE4" w14:textId="77777777" w:rsidR="00F07E36" w:rsidRPr="00DF6A15" w:rsidRDefault="00F07E36" w:rsidP="00E339F6">
      <w:pPr>
        <w:rPr>
          <w:b/>
          <w:bCs/>
        </w:rPr>
      </w:pPr>
    </w:p>
    <w:p w14:paraId="0BCCCC22" w14:textId="3DB536EF" w:rsidR="00E339F6" w:rsidRPr="00763B8E" w:rsidRDefault="00E339F6" w:rsidP="00763B8E">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3.1.3. Stakeholder Engagement Plan</w:t>
      </w:r>
    </w:p>
    <w:p w14:paraId="067985FF" w14:textId="006DDE81" w:rsidR="00D54D41" w:rsidRPr="00DF6A15" w:rsidRDefault="00D54D41" w:rsidP="00763B8E">
      <w:r w:rsidRPr="00D54D41">
        <w:t>SESA</w:t>
      </w:r>
      <w:r>
        <w:t xml:space="preserve"> </w:t>
      </w:r>
      <w:r w:rsidRPr="00D54D41">
        <w:t>process for the electricity sector will be a collaborative effort involving key stakeholders to ensure comprehensive understanding, ownership, and valuable input</w:t>
      </w:r>
      <w:r>
        <w:t xml:space="preserve">: </w:t>
      </w:r>
      <w:r w:rsidRPr="00D54D41">
        <w:t xml:space="preserve">Engagement with </w:t>
      </w:r>
      <w:r w:rsidRPr="00D54D41">
        <w:lastRenderedPageBreak/>
        <w:t>stakeholders will be inclusive and participatory, encompassing a broad spectrum of actors</w:t>
      </w:r>
      <w:r w:rsidR="00745442">
        <w:t xml:space="preserve"> and customers</w:t>
      </w:r>
      <w:r w:rsidRPr="00D54D41">
        <w:t xml:space="preserve"> involved in the electricity sector value chain. This will include government agencies, energy utilities, industry associations, civil society organizations, and grassroots community groups. Special efforts will be made to involve marginalized populations, </w:t>
      </w:r>
      <w:r w:rsidR="005D6A92">
        <w:t xml:space="preserve">informal settlements, urban poor, </w:t>
      </w:r>
      <w:r w:rsidRPr="00D54D41">
        <w:t xml:space="preserve">indigenous </w:t>
      </w:r>
      <w:r w:rsidR="005D6A92" w:rsidRPr="00D54D41">
        <w:t xml:space="preserve">and vulnerable </w:t>
      </w:r>
      <w:r w:rsidR="00443628" w:rsidRPr="00D54D41">
        <w:t>communities, in</w:t>
      </w:r>
      <w:r w:rsidRPr="00D54D41">
        <w:t xml:space="preserve"> the SESA process to ensure that their voices are heard, and their interests are adequately represented.</w:t>
      </w:r>
      <w:r w:rsidR="008D005D">
        <w:t xml:space="preserve"> The SEP should: </w:t>
      </w:r>
    </w:p>
    <w:p w14:paraId="4ABFED72" w14:textId="37D7728C" w:rsidR="00E339F6" w:rsidRPr="00DF6A15" w:rsidRDefault="00E339F6" w:rsidP="00DF6A15">
      <w:pPr>
        <w:pStyle w:val="ListParagraph"/>
        <w:numPr>
          <w:ilvl w:val="0"/>
          <w:numId w:val="20"/>
        </w:numPr>
        <w:rPr>
          <w:rFonts w:ascii="Times New Roman" w:hAnsi="Times New Roman" w:cs="Times New Roman"/>
        </w:rPr>
      </w:pPr>
      <w:r w:rsidRPr="00DF6A15">
        <w:rPr>
          <w:rFonts w:ascii="Times New Roman" w:hAnsi="Times New Roman" w:cs="Times New Roman"/>
        </w:rPr>
        <w:t xml:space="preserve">Develop a </w:t>
      </w:r>
      <w:r w:rsidR="005D6A92">
        <w:rPr>
          <w:rFonts w:ascii="Times New Roman" w:hAnsi="Times New Roman" w:cs="Times New Roman"/>
        </w:rPr>
        <w:t xml:space="preserve">Communication and public Consultation </w:t>
      </w:r>
      <w:r w:rsidRPr="00DF6A15">
        <w:rPr>
          <w:rFonts w:ascii="Times New Roman" w:hAnsi="Times New Roman" w:cs="Times New Roman"/>
        </w:rPr>
        <w:t xml:space="preserve">plan outlining strategies for </w:t>
      </w:r>
      <w:r w:rsidR="005D6A92">
        <w:rPr>
          <w:rFonts w:ascii="Times New Roman" w:hAnsi="Times New Roman" w:cs="Times New Roman"/>
        </w:rPr>
        <w:t xml:space="preserve">disclosing relevant sector information to energy consumers and users, as well as </w:t>
      </w:r>
      <w:r w:rsidRPr="00DF6A15">
        <w:rPr>
          <w:rFonts w:ascii="Times New Roman" w:hAnsi="Times New Roman" w:cs="Times New Roman"/>
        </w:rPr>
        <w:t>consultation, participation, and feedback mechanisms.</w:t>
      </w:r>
    </w:p>
    <w:p w14:paraId="400517FD" w14:textId="5DFD43E7" w:rsidR="00E339F6" w:rsidRPr="00DF6A15" w:rsidRDefault="00E339F6" w:rsidP="00DF6A15">
      <w:pPr>
        <w:pStyle w:val="ListParagraph"/>
        <w:numPr>
          <w:ilvl w:val="0"/>
          <w:numId w:val="20"/>
        </w:numPr>
        <w:rPr>
          <w:rFonts w:ascii="Times New Roman" w:hAnsi="Times New Roman" w:cs="Times New Roman"/>
        </w:rPr>
      </w:pPr>
      <w:r w:rsidRPr="00DF6A15">
        <w:rPr>
          <w:rFonts w:ascii="Times New Roman" w:hAnsi="Times New Roman" w:cs="Times New Roman"/>
        </w:rPr>
        <w:t>Identify key stakeholder groups, including affected communities, local authorities, NGOs, and private sector entities</w:t>
      </w:r>
      <w:r w:rsidR="005D6A92">
        <w:rPr>
          <w:rFonts w:ascii="Times New Roman" w:hAnsi="Times New Roman" w:cs="Times New Roman"/>
        </w:rPr>
        <w:t xml:space="preserve"> such as ESPs, contractors, and microenterprises</w:t>
      </w:r>
      <w:r w:rsidRPr="00DF6A15">
        <w:rPr>
          <w:rFonts w:ascii="Times New Roman" w:hAnsi="Times New Roman" w:cs="Times New Roman"/>
        </w:rPr>
        <w:t>.</w:t>
      </w:r>
    </w:p>
    <w:p w14:paraId="1E761C21" w14:textId="77777777" w:rsidR="00E339F6" w:rsidRPr="00DF6A15" w:rsidRDefault="00E339F6" w:rsidP="00DF6A15">
      <w:pPr>
        <w:pStyle w:val="ListParagraph"/>
        <w:numPr>
          <w:ilvl w:val="0"/>
          <w:numId w:val="20"/>
        </w:numPr>
        <w:rPr>
          <w:rFonts w:ascii="Times New Roman" w:hAnsi="Times New Roman" w:cs="Times New Roman"/>
        </w:rPr>
      </w:pPr>
      <w:r w:rsidRPr="00DF6A15">
        <w:rPr>
          <w:rFonts w:ascii="Times New Roman" w:hAnsi="Times New Roman" w:cs="Times New Roman"/>
        </w:rPr>
        <w:t>Organize workshops, focus group discussions, and public consultations to gather input and feedback on the SESA process and findings.</w:t>
      </w:r>
    </w:p>
    <w:p w14:paraId="5355DA32" w14:textId="77777777" w:rsidR="00F07E36" w:rsidRPr="00DF6A15" w:rsidRDefault="00F07E36" w:rsidP="00E339F6">
      <w:pPr>
        <w:rPr>
          <w:b/>
          <w:bCs/>
        </w:rPr>
      </w:pPr>
    </w:p>
    <w:p w14:paraId="3421E1F3" w14:textId="32B48B6E" w:rsidR="00E339F6" w:rsidRPr="00763B8E" w:rsidRDefault="00E339F6" w:rsidP="00DF6A15">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3.1.4. Methodology Development</w:t>
      </w:r>
    </w:p>
    <w:p w14:paraId="12E5F774" w14:textId="51EFCAE4" w:rsidR="00E339F6" w:rsidRPr="00DF6A15" w:rsidRDefault="007D06DD" w:rsidP="00E339F6">
      <w:r>
        <w:t>E</w:t>
      </w:r>
      <w:r w:rsidRPr="007D06DD">
        <w:t>mploy a comprehensive approach integrating primary and secondary data collection, analysis, and stakeholder engagement. This will involve:</w:t>
      </w:r>
    </w:p>
    <w:p w14:paraId="1B52DE42" w14:textId="77777777" w:rsidR="00E339F6" w:rsidRPr="00DF6A15" w:rsidRDefault="00E339F6" w:rsidP="00DF6A15">
      <w:pPr>
        <w:pStyle w:val="ListParagraph"/>
        <w:numPr>
          <w:ilvl w:val="0"/>
          <w:numId w:val="21"/>
        </w:numPr>
        <w:rPr>
          <w:rFonts w:ascii="Times New Roman" w:hAnsi="Times New Roman" w:cs="Times New Roman"/>
        </w:rPr>
      </w:pPr>
      <w:r w:rsidRPr="00DF6A15">
        <w:rPr>
          <w:rFonts w:ascii="Times New Roman" w:hAnsi="Times New Roman" w:cs="Times New Roman"/>
        </w:rPr>
        <w:t>Design a methodological framework for assessing environmental and social impacts, incorporating best practices and internationally recognized standards.</w:t>
      </w:r>
    </w:p>
    <w:p w14:paraId="55253788" w14:textId="77777777" w:rsidR="00E339F6" w:rsidRPr="00DF6A15" w:rsidRDefault="00E339F6" w:rsidP="00DF6A15">
      <w:pPr>
        <w:pStyle w:val="ListParagraph"/>
        <w:numPr>
          <w:ilvl w:val="0"/>
          <w:numId w:val="21"/>
        </w:numPr>
        <w:rPr>
          <w:rFonts w:ascii="Times New Roman" w:hAnsi="Times New Roman" w:cs="Times New Roman"/>
        </w:rPr>
      </w:pPr>
      <w:r w:rsidRPr="00DF6A15">
        <w:rPr>
          <w:rFonts w:ascii="Times New Roman" w:hAnsi="Times New Roman" w:cs="Times New Roman"/>
        </w:rPr>
        <w:t>Define criteria for identifying significant impacts and evaluating their magnitude, extent, duration, and reversibility.</w:t>
      </w:r>
    </w:p>
    <w:p w14:paraId="0FD04708" w14:textId="77777777" w:rsidR="00E339F6" w:rsidRPr="00DF6A15" w:rsidRDefault="00E339F6" w:rsidP="00DF6A15">
      <w:pPr>
        <w:pStyle w:val="ListParagraph"/>
        <w:numPr>
          <w:ilvl w:val="0"/>
          <w:numId w:val="21"/>
        </w:numPr>
        <w:rPr>
          <w:rFonts w:ascii="Times New Roman" w:hAnsi="Times New Roman" w:cs="Times New Roman"/>
        </w:rPr>
      </w:pPr>
      <w:r w:rsidRPr="00DF6A15">
        <w:rPr>
          <w:rFonts w:ascii="Times New Roman" w:hAnsi="Times New Roman" w:cs="Times New Roman"/>
        </w:rPr>
        <w:t>Establish procedures for integrating stakeholder inputs and expert opinions into the assessment process.</w:t>
      </w:r>
    </w:p>
    <w:p w14:paraId="6C5EEE74" w14:textId="77777777" w:rsidR="00F07E36" w:rsidRPr="00DF6A15" w:rsidRDefault="00F07E36" w:rsidP="00E339F6">
      <w:pPr>
        <w:rPr>
          <w:b/>
          <w:bCs/>
        </w:rPr>
      </w:pPr>
    </w:p>
    <w:p w14:paraId="29F94ED9" w14:textId="355CA1BA" w:rsidR="00E339F6" w:rsidRPr="00763B8E" w:rsidRDefault="00E339F6" w:rsidP="00763B8E">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3.1.5. Data Collection and Analysis</w:t>
      </w:r>
    </w:p>
    <w:p w14:paraId="5C52B040" w14:textId="38B74037" w:rsidR="00E339F6" w:rsidRPr="00DF6A15" w:rsidRDefault="00E339F6" w:rsidP="00DF6A15">
      <w:pPr>
        <w:pStyle w:val="ListParagraph"/>
        <w:numPr>
          <w:ilvl w:val="0"/>
          <w:numId w:val="22"/>
        </w:numPr>
        <w:rPr>
          <w:rFonts w:ascii="Times New Roman" w:hAnsi="Times New Roman" w:cs="Times New Roman"/>
        </w:rPr>
      </w:pPr>
      <w:r w:rsidRPr="00DF6A15">
        <w:rPr>
          <w:rFonts w:ascii="Times New Roman" w:hAnsi="Times New Roman" w:cs="Times New Roman"/>
        </w:rPr>
        <w:t>Collect primary and secondary data related to the Electricity Sector development, including environmental</w:t>
      </w:r>
      <w:r w:rsidR="00CB42C8">
        <w:rPr>
          <w:rFonts w:ascii="Times New Roman" w:hAnsi="Times New Roman" w:cs="Times New Roman"/>
        </w:rPr>
        <w:t xml:space="preserve"> and social</w:t>
      </w:r>
      <w:r w:rsidRPr="00DF6A15">
        <w:rPr>
          <w:rFonts w:ascii="Times New Roman" w:hAnsi="Times New Roman" w:cs="Times New Roman"/>
        </w:rPr>
        <w:t xml:space="preserve"> baseline data, socio-economic indicators, and relevant policy documents.</w:t>
      </w:r>
    </w:p>
    <w:p w14:paraId="6B4063C9" w14:textId="0356AC56" w:rsidR="00E339F6" w:rsidRPr="00DF6A15" w:rsidRDefault="00E339F6" w:rsidP="00DF6A15">
      <w:pPr>
        <w:pStyle w:val="ListParagraph"/>
        <w:numPr>
          <w:ilvl w:val="0"/>
          <w:numId w:val="22"/>
        </w:numPr>
        <w:rPr>
          <w:rFonts w:ascii="Times New Roman" w:hAnsi="Times New Roman" w:cs="Times New Roman"/>
        </w:rPr>
      </w:pPr>
      <w:r w:rsidRPr="00DF6A15">
        <w:rPr>
          <w:rFonts w:ascii="Times New Roman" w:hAnsi="Times New Roman" w:cs="Times New Roman"/>
        </w:rPr>
        <w:t>Analyze data to identify potential environmental and social risks, opportunities, and trade-offs associated with sector activities</w:t>
      </w:r>
      <w:r w:rsidR="00CB42C8">
        <w:rPr>
          <w:rFonts w:ascii="Times New Roman" w:hAnsi="Times New Roman" w:cs="Times New Roman"/>
        </w:rPr>
        <w:t xml:space="preserve"> and development</w:t>
      </w:r>
    </w:p>
    <w:p w14:paraId="7F9CB46A" w14:textId="77777777" w:rsidR="00F07E36" w:rsidRPr="00DF6A15" w:rsidRDefault="00F07E36" w:rsidP="00E339F6">
      <w:pPr>
        <w:rPr>
          <w:b/>
          <w:bCs/>
        </w:rPr>
      </w:pPr>
    </w:p>
    <w:p w14:paraId="781EA6FE" w14:textId="4AB865EA" w:rsidR="00E339F6" w:rsidRPr="00763B8E" w:rsidRDefault="00E339F6" w:rsidP="00763B8E">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3.2. SESA Study</w:t>
      </w:r>
      <w:r w:rsidR="00F813AE">
        <w:rPr>
          <w:rFonts w:ascii="Times New Roman" w:hAnsi="Times New Roman" w:cs="Times New Roman"/>
          <w:b/>
          <w:bCs/>
          <w:color w:val="auto"/>
          <w:sz w:val="28"/>
          <w:szCs w:val="28"/>
        </w:rPr>
        <w:t>:</w:t>
      </w:r>
    </w:p>
    <w:p w14:paraId="4AF96059" w14:textId="3B9CC932" w:rsidR="00E339F6" w:rsidRPr="00DF6A15" w:rsidRDefault="00E339F6" w:rsidP="00DF6A15">
      <w:pPr>
        <w:pStyle w:val="Heading3"/>
        <w:rPr>
          <w:rFonts w:ascii="Times New Roman" w:hAnsi="Times New Roman" w:cs="Times New Roman"/>
          <w:b/>
          <w:bCs/>
          <w:sz w:val="24"/>
          <w:szCs w:val="24"/>
        </w:rPr>
      </w:pPr>
      <w:r w:rsidRPr="00020847">
        <w:rPr>
          <w:rFonts w:ascii="Times New Roman" w:eastAsiaTheme="minorHAnsi" w:hAnsi="Times New Roman" w:cs="Times New Roman"/>
          <w:b/>
          <w:bCs/>
          <w:color w:val="auto"/>
          <w:sz w:val="24"/>
          <w:szCs w:val="24"/>
        </w:rPr>
        <w:t xml:space="preserve">3.2.1. </w:t>
      </w:r>
      <w:r w:rsidR="00B65C01" w:rsidRPr="00DF6A15">
        <w:rPr>
          <w:rFonts w:ascii="Times New Roman" w:eastAsiaTheme="minorHAnsi" w:hAnsi="Times New Roman" w:cs="Times New Roman"/>
          <w:b/>
          <w:bCs/>
          <w:color w:val="auto"/>
          <w:sz w:val="24"/>
          <w:szCs w:val="24"/>
        </w:rPr>
        <w:t xml:space="preserve">Environmental and Social </w:t>
      </w:r>
      <w:r w:rsidRPr="00020847">
        <w:rPr>
          <w:rFonts w:ascii="Times New Roman" w:eastAsiaTheme="minorHAnsi" w:hAnsi="Times New Roman" w:cs="Times New Roman"/>
          <w:b/>
          <w:bCs/>
          <w:color w:val="auto"/>
          <w:sz w:val="24"/>
          <w:szCs w:val="24"/>
        </w:rPr>
        <w:t>Impact Assessment</w:t>
      </w:r>
    </w:p>
    <w:p w14:paraId="1D940F02" w14:textId="7ECF2143" w:rsidR="000917BD" w:rsidRPr="000917BD" w:rsidRDefault="000917BD" w:rsidP="00DF6A15">
      <w:r w:rsidRPr="000917BD">
        <w:t xml:space="preserve">Based on the environmental, social, institutional analyses, the consultants will identify the priority environmental and social opportunities and risks facing the </w:t>
      </w:r>
      <w:r>
        <w:t xml:space="preserve">electricity </w:t>
      </w:r>
      <w:r w:rsidRPr="000917BD">
        <w:t>sector.  This priority setting exercise will be done in consultation with key stakeholders. The consulta</w:t>
      </w:r>
      <w:r>
        <w:t>ncy</w:t>
      </w:r>
      <w:r w:rsidRPr="000917BD">
        <w:t xml:space="preserve"> will discuss how these priorities are likely to be influenced, positively or negatively, by the continued development of the </w:t>
      </w:r>
      <w:r>
        <w:t xml:space="preserve">electricity </w:t>
      </w:r>
      <w:r w:rsidRPr="000917BD">
        <w:t>sector, and will suggest appropriate and proportional institutional and policy adjustments for the sector to take advantage of these opportunities or to mitigate against the risks.  Any suggested institutional and policy adjustment must be justified by its benefits relative to its cost.</w:t>
      </w:r>
    </w:p>
    <w:p w14:paraId="4E122BD8" w14:textId="77777777" w:rsidR="000917BD" w:rsidRDefault="000917BD" w:rsidP="00E339F6"/>
    <w:p w14:paraId="5BF21CC2" w14:textId="50224732" w:rsidR="00E339F6" w:rsidRPr="00DF6A15" w:rsidRDefault="00B65C01" w:rsidP="00E339F6">
      <w:r w:rsidRPr="00DF6A15">
        <w:lastRenderedPageBreak/>
        <w:t xml:space="preserve">This involves a comprehensive evaluation of the potential environmental and social effects associated with proposed interventions and activities within the sector. This assessment aims to identify, predict, and mitigate adverse impacts while maximizing positive outcomes for communities and the environment. The </w:t>
      </w:r>
      <w:r w:rsidR="004B4802">
        <w:t>SESA</w:t>
      </w:r>
      <w:r w:rsidRPr="00DF6A15">
        <w:t xml:space="preserve"> will be conducted in accordance with country laws, World Bank standards and international best practices. This includes: </w:t>
      </w:r>
    </w:p>
    <w:p w14:paraId="724623ED" w14:textId="77777777" w:rsidR="00E339F6" w:rsidRPr="00DF6A15" w:rsidRDefault="00E339F6" w:rsidP="00DF6A15">
      <w:pPr>
        <w:pStyle w:val="ListParagraph"/>
        <w:numPr>
          <w:ilvl w:val="0"/>
          <w:numId w:val="23"/>
        </w:numPr>
        <w:rPr>
          <w:rFonts w:ascii="Times New Roman" w:hAnsi="Times New Roman" w:cs="Times New Roman"/>
        </w:rPr>
      </w:pPr>
      <w:r w:rsidRPr="00DF6A15">
        <w:rPr>
          <w:rFonts w:ascii="Times New Roman" w:hAnsi="Times New Roman" w:cs="Times New Roman"/>
        </w:rPr>
        <w:t>Conduct a comprehensive assessment of potential environmental and social impacts associated with the Electricity Sector development.</w:t>
      </w:r>
    </w:p>
    <w:p w14:paraId="07DD390E" w14:textId="77777777" w:rsidR="00E339F6" w:rsidRPr="00DF6A15" w:rsidRDefault="00E339F6" w:rsidP="00DF6A15">
      <w:pPr>
        <w:pStyle w:val="ListParagraph"/>
        <w:numPr>
          <w:ilvl w:val="0"/>
          <w:numId w:val="23"/>
        </w:numPr>
        <w:rPr>
          <w:rFonts w:ascii="Times New Roman" w:hAnsi="Times New Roman" w:cs="Times New Roman"/>
        </w:rPr>
      </w:pPr>
      <w:r w:rsidRPr="00DF6A15">
        <w:rPr>
          <w:rFonts w:ascii="Times New Roman" w:hAnsi="Times New Roman" w:cs="Times New Roman"/>
        </w:rPr>
        <w:t>Evaluate impacts on air quality, water resources, land use, biodiversity, cultural heritage, public health, and socio-economic conditions.</w:t>
      </w:r>
    </w:p>
    <w:p w14:paraId="4CE28E99" w14:textId="77777777" w:rsidR="00E339F6" w:rsidRPr="00DF6A15" w:rsidRDefault="00E339F6" w:rsidP="00DF6A15">
      <w:pPr>
        <w:pStyle w:val="ListParagraph"/>
        <w:numPr>
          <w:ilvl w:val="0"/>
          <w:numId w:val="23"/>
        </w:numPr>
        <w:rPr>
          <w:rFonts w:ascii="Times New Roman" w:hAnsi="Times New Roman" w:cs="Times New Roman"/>
        </w:rPr>
      </w:pPr>
      <w:r w:rsidRPr="00DF6A15">
        <w:rPr>
          <w:rFonts w:ascii="Times New Roman" w:hAnsi="Times New Roman" w:cs="Times New Roman"/>
        </w:rPr>
        <w:t>Assess direct, indirect, cumulative, and synergistic effects of sector activities on the environment and society.</w:t>
      </w:r>
    </w:p>
    <w:p w14:paraId="476217A1" w14:textId="77777777" w:rsidR="00F07E36" w:rsidRPr="00DF6A15" w:rsidRDefault="00F07E36" w:rsidP="00E339F6">
      <w:pPr>
        <w:rPr>
          <w:b/>
          <w:bCs/>
        </w:rPr>
      </w:pPr>
    </w:p>
    <w:p w14:paraId="2A856C7C" w14:textId="0AF935A0" w:rsidR="00E339F6" w:rsidRPr="00DF6A15" w:rsidRDefault="00E339F6" w:rsidP="00DF6A15">
      <w:pPr>
        <w:pStyle w:val="Heading3"/>
        <w:rPr>
          <w:rFonts w:ascii="Times New Roman" w:hAnsi="Times New Roman" w:cs="Times New Roman"/>
          <w:b/>
          <w:bCs/>
          <w:sz w:val="24"/>
          <w:szCs w:val="24"/>
        </w:rPr>
      </w:pPr>
      <w:r w:rsidRPr="00D615F9">
        <w:rPr>
          <w:rFonts w:ascii="Times New Roman" w:eastAsiaTheme="minorHAnsi" w:hAnsi="Times New Roman" w:cs="Times New Roman"/>
          <w:b/>
          <w:bCs/>
          <w:color w:val="auto"/>
          <w:sz w:val="24"/>
          <w:szCs w:val="24"/>
        </w:rPr>
        <w:t xml:space="preserve">3.2.2. Mitigation and </w:t>
      </w:r>
      <w:r w:rsidR="002D5BF1" w:rsidRPr="00DF6A15">
        <w:rPr>
          <w:rFonts w:ascii="Times New Roman" w:eastAsiaTheme="minorHAnsi" w:hAnsi="Times New Roman" w:cs="Times New Roman"/>
          <w:b/>
          <w:bCs/>
          <w:color w:val="auto"/>
          <w:sz w:val="24"/>
          <w:szCs w:val="24"/>
        </w:rPr>
        <w:t xml:space="preserve">Management </w:t>
      </w:r>
      <w:r w:rsidRPr="00D615F9">
        <w:rPr>
          <w:rFonts w:ascii="Times New Roman" w:eastAsiaTheme="minorHAnsi" w:hAnsi="Times New Roman" w:cs="Times New Roman"/>
          <w:b/>
          <w:bCs/>
          <w:color w:val="auto"/>
          <w:sz w:val="24"/>
          <w:szCs w:val="24"/>
        </w:rPr>
        <w:t>Measures</w:t>
      </w:r>
    </w:p>
    <w:p w14:paraId="5B9F8FE9" w14:textId="2766E8E1" w:rsidR="00E339F6" w:rsidRPr="00DF6A15" w:rsidRDefault="00B65C01" w:rsidP="00E339F6">
      <w:r w:rsidRPr="00DF6A15">
        <w:t>These measures should be designed to prevent, mitigate, or offset negative impacts, while enhancing positive outcomes and promoting sustainable development. Mitigation measures will be tailored to specific project activities and their potential impacts, and will be integrated into project design, implementation, and monitoring plans. Key mitigation measures may include:</w:t>
      </w:r>
    </w:p>
    <w:p w14:paraId="1360C6B2" w14:textId="77777777" w:rsidR="00E339F6" w:rsidRPr="00DF6A15" w:rsidRDefault="00E339F6" w:rsidP="00DF6A15">
      <w:pPr>
        <w:pStyle w:val="ListParagraph"/>
        <w:numPr>
          <w:ilvl w:val="0"/>
          <w:numId w:val="24"/>
        </w:numPr>
        <w:rPr>
          <w:rFonts w:ascii="Times New Roman" w:hAnsi="Times New Roman" w:cs="Times New Roman"/>
        </w:rPr>
      </w:pPr>
      <w:r w:rsidRPr="00DF6A15">
        <w:rPr>
          <w:rFonts w:ascii="Times New Roman" w:hAnsi="Times New Roman" w:cs="Times New Roman"/>
        </w:rPr>
        <w:t>Develop strategies and measures to mitigate adverse impacts and enhance positive outcomes.</w:t>
      </w:r>
    </w:p>
    <w:p w14:paraId="02B36778" w14:textId="77777777" w:rsidR="00E339F6" w:rsidRPr="00DF6A15" w:rsidRDefault="00E339F6" w:rsidP="00DF6A15">
      <w:pPr>
        <w:pStyle w:val="ListParagraph"/>
        <w:numPr>
          <w:ilvl w:val="0"/>
          <w:numId w:val="24"/>
        </w:numPr>
        <w:rPr>
          <w:rFonts w:ascii="Times New Roman" w:hAnsi="Times New Roman" w:cs="Times New Roman"/>
        </w:rPr>
      </w:pPr>
      <w:r w:rsidRPr="00DF6A15">
        <w:rPr>
          <w:rFonts w:ascii="Times New Roman" w:hAnsi="Times New Roman" w:cs="Times New Roman"/>
        </w:rPr>
        <w:t>Identify feasible and cost-effective mitigation measures, including avoidance, minimization, and compensation strategies.</w:t>
      </w:r>
    </w:p>
    <w:p w14:paraId="3795210A" w14:textId="77777777" w:rsidR="00E339F6" w:rsidRPr="00DF6A15" w:rsidRDefault="00E339F6" w:rsidP="00DF6A15">
      <w:pPr>
        <w:pStyle w:val="ListParagraph"/>
        <w:numPr>
          <w:ilvl w:val="0"/>
          <w:numId w:val="24"/>
        </w:numPr>
        <w:rPr>
          <w:rFonts w:ascii="Times New Roman" w:hAnsi="Times New Roman" w:cs="Times New Roman"/>
        </w:rPr>
      </w:pPr>
      <w:r w:rsidRPr="00DF6A15">
        <w:rPr>
          <w:rFonts w:ascii="Times New Roman" w:hAnsi="Times New Roman" w:cs="Times New Roman"/>
        </w:rPr>
        <w:t>Provide recommendations for integrating environmental and social considerations into sector planning, design, and implementation processes.</w:t>
      </w:r>
    </w:p>
    <w:p w14:paraId="6F214A2F" w14:textId="77777777" w:rsidR="00E339F6" w:rsidRPr="00DF6A15" w:rsidRDefault="00E339F6" w:rsidP="00DF6A15">
      <w:pPr>
        <w:pStyle w:val="Heading3"/>
        <w:rPr>
          <w:rFonts w:ascii="Times New Roman" w:hAnsi="Times New Roman" w:cs="Times New Roman"/>
          <w:b/>
          <w:bCs/>
          <w:sz w:val="24"/>
          <w:szCs w:val="24"/>
        </w:rPr>
      </w:pPr>
      <w:r w:rsidRPr="00D615F9">
        <w:rPr>
          <w:rFonts w:ascii="Times New Roman" w:eastAsiaTheme="minorHAnsi" w:hAnsi="Times New Roman" w:cs="Times New Roman"/>
          <w:b/>
          <w:bCs/>
          <w:color w:val="auto"/>
          <w:sz w:val="24"/>
          <w:szCs w:val="24"/>
        </w:rPr>
        <w:t>3.2.3. Monitoring and Evaluation</w:t>
      </w:r>
    </w:p>
    <w:p w14:paraId="1C54E394" w14:textId="475B8351" w:rsidR="00B65C01" w:rsidRPr="00DF6A15" w:rsidRDefault="00B65C01" w:rsidP="00DF6A15">
      <w:r w:rsidRPr="00DF6A15">
        <w:t xml:space="preserve">Effective monitoring and reporting mechanisms are essential components of the </w:t>
      </w:r>
      <w:r w:rsidR="00D25FE4">
        <w:t xml:space="preserve">Strategic </w:t>
      </w:r>
      <w:r w:rsidRPr="00DF6A15">
        <w:t>Environmental and Social Assessment (</w:t>
      </w:r>
      <w:r w:rsidR="00D25FE4">
        <w:t>SE</w:t>
      </w:r>
      <w:r w:rsidRPr="00DF6A15">
        <w:t>SA) process for the electricity sector in Somalia. These mechanisms ensure that mitigation measures are implemented as planned, that environmental and social impacts are effectively managed, and that project activities remain compliant with relevant regulations and standards.</w:t>
      </w:r>
      <w:r>
        <w:t xml:space="preserve"> </w:t>
      </w:r>
      <w:r w:rsidRPr="00DF6A15">
        <w:t>Key elements of the monitoring and reporting framework include:</w:t>
      </w:r>
    </w:p>
    <w:p w14:paraId="6B27DDD7" w14:textId="7FAB649A" w:rsidR="00E339F6" w:rsidRPr="00DF6A15" w:rsidRDefault="00E339F6" w:rsidP="00E339F6"/>
    <w:p w14:paraId="7376692E" w14:textId="77777777" w:rsidR="00E339F6" w:rsidRPr="00DF6A15" w:rsidRDefault="00E339F6" w:rsidP="00DF6A15">
      <w:pPr>
        <w:pStyle w:val="ListParagraph"/>
        <w:numPr>
          <w:ilvl w:val="0"/>
          <w:numId w:val="25"/>
        </w:numPr>
        <w:rPr>
          <w:rFonts w:ascii="Times New Roman" w:hAnsi="Times New Roman" w:cs="Times New Roman"/>
        </w:rPr>
      </w:pPr>
      <w:r w:rsidRPr="00DF6A15">
        <w:rPr>
          <w:rFonts w:ascii="Times New Roman" w:hAnsi="Times New Roman" w:cs="Times New Roman"/>
        </w:rPr>
        <w:t>Design a monitoring and evaluation framework to track the implementation of mitigation measures and the effectiveness of environmental and social management plans.</w:t>
      </w:r>
    </w:p>
    <w:p w14:paraId="20ADEF17" w14:textId="77777777" w:rsidR="00E339F6" w:rsidRPr="00DF6A15" w:rsidRDefault="00E339F6" w:rsidP="00DF6A15">
      <w:pPr>
        <w:pStyle w:val="ListParagraph"/>
        <w:numPr>
          <w:ilvl w:val="0"/>
          <w:numId w:val="25"/>
        </w:numPr>
        <w:rPr>
          <w:rFonts w:ascii="Times New Roman" w:hAnsi="Times New Roman" w:cs="Times New Roman"/>
        </w:rPr>
      </w:pPr>
      <w:r w:rsidRPr="00DF6A15">
        <w:rPr>
          <w:rFonts w:ascii="Times New Roman" w:hAnsi="Times New Roman" w:cs="Times New Roman"/>
        </w:rPr>
        <w:t>Establish indicators and thresholds for monitoring key environmental and social parameters.</w:t>
      </w:r>
    </w:p>
    <w:p w14:paraId="14754B42" w14:textId="62F5C549" w:rsidR="00F07E36" w:rsidRPr="00763B8E" w:rsidRDefault="00E339F6" w:rsidP="00E339F6">
      <w:pPr>
        <w:pStyle w:val="ListParagraph"/>
        <w:numPr>
          <w:ilvl w:val="0"/>
          <w:numId w:val="25"/>
        </w:numPr>
        <w:rPr>
          <w:rFonts w:ascii="Times New Roman" w:hAnsi="Times New Roman" w:cs="Times New Roman"/>
        </w:rPr>
      </w:pPr>
      <w:r w:rsidRPr="00DF6A15">
        <w:rPr>
          <w:rFonts w:ascii="Times New Roman" w:hAnsi="Times New Roman" w:cs="Times New Roman"/>
        </w:rPr>
        <w:t>Outline procedures for reporting, reviewing, and updating monitoring data and evaluation findings.</w:t>
      </w:r>
    </w:p>
    <w:p w14:paraId="3CECE29D" w14:textId="19315422" w:rsidR="00E339F6" w:rsidRPr="00DF6A15" w:rsidRDefault="00E339F6" w:rsidP="00DF6A15">
      <w:pPr>
        <w:pStyle w:val="Heading3"/>
        <w:rPr>
          <w:rFonts w:ascii="Times New Roman" w:hAnsi="Times New Roman" w:cs="Times New Roman"/>
          <w:b/>
          <w:bCs/>
          <w:sz w:val="24"/>
          <w:szCs w:val="24"/>
        </w:rPr>
      </w:pPr>
      <w:r w:rsidRPr="00D615F9">
        <w:rPr>
          <w:rFonts w:ascii="Times New Roman" w:eastAsiaTheme="minorHAnsi" w:hAnsi="Times New Roman" w:cs="Times New Roman"/>
          <w:b/>
          <w:bCs/>
          <w:color w:val="auto"/>
          <w:sz w:val="24"/>
          <w:szCs w:val="24"/>
        </w:rPr>
        <w:t>3.2.4. Capacity Building and Institutional Strengthening</w:t>
      </w:r>
    </w:p>
    <w:p w14:paraId="66BE7E78" w14:textId="68450B82" w:rsidR="00E339F6" w:rsidRPr="00DF6A15" w:rsidRDefault="008D005D" w:rsidP="00E339F6">
      <w:r>
        <w:t xml:space="preserve">The consultant should </w:t>
      </w:r>
      <w:r w:rsidRPr="008D005D">
        <w:t>plan for capacity-building, including changes in or additions to the existing institutional structure and institutional development, also formulate a matrix of recommendations and an action plan.</w:t>
      </w:r>
    </w:p>
    <w:p w14:paraId="3506AED7" w14:textId="77777777" w:rsidR="00E339F6" w:rsidRPr="00DF6A15" w:rsidRDefault="00E339F6" w:rsidP="00DF6A15">
      <w:pPr>
        <w:pStyle w:val="ListParagraph"/>
        <w:numPr>
          <w:ilvl w:val="0"/>
          <w:numId w:val="26"/>
        </w:numPr>
        <w:rPr>
          <w:rFonts w:ascii="Times New Roman" w:hAnsi="Times New Roman" w:cs="Times New Roman"/>
        </w:rPr>
      </w:pPr>
      <w:r w:rsidRPr="00DF6A15">
        <w:rPr>
          <w:rFonts w:ascii="Times New Roman" w:hAnsi="Times New Roman" w:cs="Times New Roman"/>
        </w:rPr>
        <w:t>Identify capacity-building needs within government agencies, regulatory bodies, and other relevant institutions responsible for Electricity Sector management.</w:t>
      </w:r>
    </w:p>
    <w:p w14:paraId="5C6E4180" w14:textId="77777777" w:rsidR="00E339F6" w:rsidRPr="00DF6A15" w:rsidRDefault="00E339F6" w:rsidP="00DF6A15">
      <w:pPr>
        <w:pStyle w:val="ListParagraph"/>
        <w:numPr>
          <w:ilvl w:val="0"/>
          <w:numId w:val="26"/>
        </w:numPr>
        <w:rPr>
          <w:rFonts w:ascii="Times New Roman" w:hAnsi="Times New Roman" w:cs="Times New Roman"/>
        </w:rPr>
      </w:pPr>
      <w:r w:rsidRPr="00DF6A15">
        <w:rPr>
          <w:rFonts w:ascii="Times New Roman" w:hAnsi="Times New Roman" w:cs="Times New Roman"/>
        </w:rPr>
        <w:lastRenderedPageBreak/>
        <w:t>Develop training programs and technical assistance initiatives to enhance institutional capacities for environmental and social management.</w:t>
      </w:r>
    </w:p>
    <w:p w14:paraId="6E4482FE" w14:textId="5CFC55E6" w:rsidR="00F07E36" w:rsidRPr="00763B8E" w:rsidRDefault="00E339F6" w:rsidP="00E339F6">
      <w:pPr>
        <w:pStyle w:val="ListParagraph"/>
        <w:numPr>
          <w:ilvl w:val="0"/>
          <w:numId w:val="26"/>
        </w:numPr>
        <w:rPr>
          <w:rFonts w:ascii="Times New Roman" w:hAnsi="Times New Roman" w:cs="Times New Roman"/>
        </w:rPr>
      </w:pPr>
      <w:r w:rsidRPr="00DF6A15">
        <w:rPr>
          <w:rFonts w:ascii="Times New Roman" w:hAnsi="Times New Roman" w:cs="Times New Roman"/>
        </w:rPr>
        <w:t>Facilitate knowledge transfer and exchange to promote learning and best practices dissemination.</w:t>
      </w:r>
    </w:p>
    <w:p w14:paraId="2F6F2149" w14:textId="72D4F193" w:rsidR="00E339F6" w:rsidRPr="00DF6A15" w:rsidRDefault="00E339F6" w:rsidP="00DF6A15">
      <w:pPr>
        <w:pStyle w:val="Heading3"/>
      </w:pPr>
      <w:r w:rsidRPr="00D615F9">
        <w:rPr>
          <w:rFonts w:ascii="Times New Roman" w:eastAsiaTheme="minorHAnsi" w:hAnsi="Times New Roman" w:cs="Times New Roman"/>
          <w:b/>
          <w:bCs/>
          <w:color w:val="auto"/>
          <w:sz w:val="24"/>
          <w:szCs w:val="24"/>
        </w:rPr>
        <w:t>3.2.5. Stakeholder Engagement and Communication</w:t>
      </w:r>
    </w:p>
    <w:p w14:paraId="555CC1E3" w14:textId="3CBA2908" w:rsidR="00E339F6" w:rsidRPr="00DF6A15" w:rsidRDefault="000917BD" w:rsidP="00E339F6">
      <w:r w:rsidRPr="00DF6A15">
        <w:t xml:space="preserve">The consultancy shall identify the key stakeholders and analyze their interests in and influence over the electricity sector including reviewing the role, mandate and linkages of the various institutional stakeholders, the planning agencies, local </w:t>
      </w:r>
      <w:r w:rsidR="00377F2C" w:rsidRPr="00DF6A15">
        <w:t>agencies,</w:t>
      </w:r>
      <w:r w:rsidRPr="00DF6A15">
        <w:t xml:space="preserve"> and civil society organizations. </w:t>
      </w:r>
      <w:r w:rsidR="00377F2C" w:rsidRPr="00DF6A15">
        <w:t xml:space="preserve">MDAs, </w:t>
      </w:r>
      <w:r w:rsidRPr="00DF6A15">
        <w:t xml:space="preserve">NGOs and CBOs, and specific interest </w:t>
      </w:r>
      <w:r w:rsidR="00377F2C" w:rsidRPr="00DF6A15">
        <w:t>groups that</w:t>
      </w:r>
      <w:r w:rsidRPr="00DF6A15">
        <w:t xml:space="preserve"> are likely to be benefited or affected by developments in the </w:t>
      </w:r>
      <w:r w:rsidR="00377F2C" w:rsidRPr="00DF6A15">
        <w:t>electricity</w:t>
      </w:r>
      <w:r w:rsidRPr="00DF6A15">
        <w:t xml:space="preserve"> sector should be also included.  </w:t>
      </w:r>
    </w:p>
    <w:p w14:paraId="62870F88" w14:textId="77777777" w:rsidR="00E339F6" w:rsidRPr="00DF6A15" w:rsidRDefault="00E339F6" w:rsidP="00DF6A15">
      <w:pPr>
        <w:pStyle w:val="ListParagraph"/>
        <w:numPr>
          <w:ilvl w:val="0"/>
          <w:numId w:val="27"/>
        </w:numPr>
        <w:rPr>
          <w:rFonts w:ascii="Times New Roman" w:hAnsi="Times New Roman" w:cs="Times New Roman"/>
        </w:rPr>
      </w:pPr>
      <w:r w:rsidRPr="00DF6A15">
        <w:rPr>
          <w:rFonts w:ascii="Times New Roman" w:hAnsi="Times New Roman" w:cs="Times New Roman"/>
        </w:rPr>
        <w:t>Facilitate ongoing stakeholder engagement and communication to ensure transparency, accountability, and public participation.</w:t>
      </w:r>
    </w:p>
    <w:p w14:paraId="726BCE16" w14:textId="77777777" w:rsidR="00E339F6" w:rsidRPr="00DF6A15" w:rsidRDefault="00E339F6" w:rsidP="00DF6A15">
      <w:pPr>
        <w:pStyle w:val="ListParagraph"/>
        <w:numPr>
          <w:ilvl w:val="0"/>
          <w:numId w:val="27"/>
        </w:numPr>
        <w:rPr>
          <w:rFonts w:ascii="Times New Roman" w:hAnsi="Times New Roman" w:cs="Times New Roman"/>
        </w:rPr>
      </w:pPr>
      <w:r w:rsidRPr="00DF6A15">
        <w:rPr>
          <w:rFonts w:ascii="Times New Roman" w:hAnsi="Times New Roman" w:cs="Times New Roman"/>
        </w:rPr>
        <w:t>Disseminate SESA findings, recommendations, and decision-making processes through various channels, including workshops, reports, and online platforms.</w:t>
      </w:r>
    </w:p>
    <w:p w14:paraId="2CCE2199" w14:textId="77777777" w:rsidR="00E339F6" w:rsidRDefault="00E339F6">
      <w:pPr>
        <w:pStyle w:val="ListParagraph"/>
        <w:numPr>
          <w:ilvl w:val="0"/>
          <w:numId w:val="27"/>
        </w:numPr>
        <w:rPr>
          <w:rFonts w:ascii="Times New Roman" w:hAnsi="Times New Roman" w:cs="Times New Roman"/>
        </w:rPr>
      </w:pPr>
      <w:r w:rsidRPr="00DF6A15">
        <w:rPr>
          <w:rFonts w:ascii="Times New Roman" w:hAnsi="Times New Roman" w:cs="Times New Roman"/>
        </w:rPr>
        <w:t>Foster dialogue and collaboration among stakeholders to promote shared understanding and consensus-building around sector development priorities and strategies.</w:t>
      </w:r>
    </w:p>
    <w:p w14:paraId="45309827" w14:textId="57785130" w:rsidR="00361DF4" w:rsidRPr="00763B8E" w:rsidRDefault="00D615F9" w:rsidP="00763B8E">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4.</w:t>
      </w:r>
      <w:r w:rsidR="007D06DD" w:rsidRPr="00763B8E">
        <w:rPr>
          <w:rFonts w:ascii="Times New Roman" w:hAnsi="Times New Roman" w:cs="Times New Roman"/>
          <w:b/>
          <w:bCs/>
          <w:color w:val="auto"/>
          <w:sz w:val="28"/>
          <w:szCs w:val="28"/>
        </w:rPr>
        <w:t xml:space="preserve"> </w:t>
      </w:r>
      <w:r w:rsidR="00B65C01" w:rsidRPr="00763B8E">
        <w:rPr>
          <w:rFonts w:ascii="Times New Roman" w:hAnsi="Times New Roman" w:cs="Times New Roman"/>
          <w:b/>
          <w:bCs/>
          <w:color w:val="auto"/>
          <w:sz w:val="28"/>
          <w:szCs w:val="28"/>
        </w:rPr>
        <w:t xml:space="preserve">Recommendations and conclusion: </w:t>
      </w:r>
    </w:p>
    <w:p w14:paraId="31C0B436" w14:textId="30F14780" w:rsidR="00361DF4" w:rsidRPr="00DF6A15" w:rsidRDefault="00361DF4" w:rsidP="00763B8E">
      <w:pPr>
        <w:jc w:val="both"/>
      </w:pPr>
      <w:r w:rsidRPr="00DF6A15">
        <w:t xml:space="preserve">This </w:t>
      </w:r>
      <w:r>
        <w:t>should outline</w:t>
      </w:r>
      <w:r w:rsidRPr="00DF6A15">
        <w:t xml:space="preserve"> the</w:t>
      </w:r>
      <w:r w:rsidR="00DD5536">
        <w:t xml:space="preserve"> </w:t>
      </w:r>
      <w:r w:rsidRPr="00DF6A15">
        <w:t xml:space="preserve">environmental </w:t>
      </w:r>
      <w:r w:rsidR="00DD5536">
        <w:t xml:space="preserve">and social </w:t>
      </w:r>
      <w:r w:rsidRPr="00DF6A15">
        <w:t xml:space="preserve">dynamics specific to Somalia's electricity sector, </w:t>
      </w:r>
      <w:r>
        <w:t>including</w:t>
      </w:r>
      <w:r w:rsidRPr="00DF6A15">
        <w:t xml:space="preserve"> regulatory and institutional </w:t>
      </w:r>
      <w:r w:rsidR="00DD5536">
        <w:t>challenges</w:t>
      </w:r>
      <w:r w:rsidRPr="00DF6A15">
        <w:t xml:space="preserve">, ongoing challenges, and pivotal recommendations. It </w:t>
      </w:r>
      <w:r w:rsidR="00DD5536">
        <w:t xml:space="preserve">should </w:t>
      </w:r>
      <w:r w:rsidRPr="00DF6A15">
        <w:t>pro</w:t>
      </w:r>
      <w:r>
        <w:t>vide</w:t>
      </w:r>
      <w:r w:rsidRPr="00DF6A15">
        <w:t xml:space="preserve"> strategies to capitalize on positive impacts and environmental </w:t>
      </w:r>
      <w:r w:rsidR="00DD5536">
        <w:t xml:space="preserve">and social </w:t>
      </w:r>
      <w:r w:rsidRPr="00DF6A15">
        <w:t>opportunities while mitigating constraints, adverse effects, and associated risks. Recommendations will span diverse facets, including alternative approaches, potential program</w:t>
      </w:r>
      <w:r w:rsidR="00DD5536">
        <w:t>s</w:t>
      </w:r>
      <w:r w:rsidRPr="00DF6A15">
        <w:t xml:space="preserve"> design and implementation refinements, and collaborative endeavors to ensure sustainable development.</w:t>
      </w:r>
    </w:p>
    <w:p w14:paraId="08097DAA" w14:textId="77777777" w:rsidR="00D615F9" w:rsidRDefault="00D615F9" w:rsidP="00763B8E">
      <w:pPr>
        <w:jc w:val="both"/>
      </w:pPr>
    </w:p>
    <w:p w14:paraId="48CE4DBD" w14:textId="78F73CA9" w:rsidR="00361DF4" w:rsidRDefault="007D06DD" w:rsidP="00763B8E">
      <w:pPr>
        <w:jc w:val="both"/>
      </w:pPr>
      <w:r>
        <w:t>R</w:t>
      </w:r>
      <w:r w:rsidR="00361DF4" w:rsidRPr="00DF6A15">
        <w:t xml:space="preserve">ecommendations </w:t>
      </w:r>
      <w:r>
        <w:t xml:space="preserve">should </w:t>
      </w:r>
      <w:r w:rsidR="00361DF4" w:rsidRPr="00DF6A15">
        <w:t xml:space="preserve">primarily center on facilitating an exhaustive </w:t>
      </w:r>
      <w:r w:rsidR="00063074">
        <w:t xml:space="preserve">SESA study </w:t>
      </w:r>
      <w:r w:rsidR="00361DF4" w:rsidRPr="00DF6A15">
        <w:t xml:space="preserve">of the electricity sector program, harmonizing closely with the evaluation criteria stipulated in the World Bank's </w:t>
      </w:r>
      <w:r w:rsidR="00361DF4" w:rsidRPr="00107B9F">
        <w:t>guidelines</w:t>
      </w:r>
      <w:r w:rsidR="00361DF4" w:rsidRPr="00661D03">
        <w:t xml:space="preserve">. Additionally, tailored recommendations will be proffered to </w:t>
      </w:r>
      <w:r w:rsidR="00DF6A15" w:rsidRPr="00661D03">
        <w:t>help developing the sector,</w:t>
      </w:r>
      <w:r w:rsidR="00361DF4" w:rsidRPr="00107B9F">
        <w:t xml:space="preserve"> encompassing considerations for Environmental </w:t>
      </w:r>
      <w:r w:rsidR="00D615F9" w:rsidRPr="00107B9F">
        <w:t xml:space="preserve">and Social </w:t>
      </w:r>
      <w:r w:rsidR="00361DF4" w:rsidRPr="00107B9F">
        <w:t>Impact Assessments (E</w:t>
      </w:r>
      <w:r w:rsidR="00D615F9" w:rsidRPr="00107B9F">
        <w:t>S</w:t>
      </w:r>
      <w:r w:rsidR="00361DF4" w:rsidRPr="00107B9F">
        <w:t>IAs) for</w:t>
      </w:r>
      <w:r w:rsidR="00361DF4" w:rsidRPr="00DF6A15">
        <w:t xml:space="preserve"> specific projects within the program. These recommendations will be crafted </w:t>
      </w:r>
      <w:r w:rsidR="00BC760F">
        <w:t xml:space="preserve">precisely </w:t>
      </w:r>
      <w:r w:rsidR="00361DF4" w:rsidRPr="00DF6A15">
        <w:t>to address the unique</w:t>
      </w:r>
      <w:r w:rsidR="00BC760F">
        <w:t xml:space="preserve"> challenges</w:t>
      </w:r>
      <w:r w:rsidR="00361DF4" w:rsidRPr="00DF6A15">
        <w:t xml:space="preserve"> and hurdles confronting Somalia's </w:t>
      </w:r>
      <w:r w:rsidR="00443628">
        <w:t>environmental and</w:t>
      </w:r>
      <w:r w:rsidR="00063074">
        <w:t xml:space="preserve"> social risks management in developing the </w:t>
      </w:r>
      <w:r w:rsidR="00361DF4" w:rsidRPr="00DF6A15">
        <w:t>electricity sector</w:t>
      </w:r>
      <w:r w:rsidR="006A27B5">
        <w:t>.</w:t>
      </w:r>
    </w:p>
    <w:p w14:paraId="37657558" w14:textId="77777777" w:rsidR="00F07E36" w:rsidRPr="00DF6A15" w:rsidRDefault="00F07E36" w:rsidP="00E339F6">
      <w:pPr>
        <w:rPr>
          <w:b/>
          <w:bCs/>
        </w:rPr>
      </w:pPr>
    </w:p>
    <w:p w14:paraId="434DBF4F" w14:textId="19E552A3" w:rsidR="005B3189" w:rsidRPr="00763B8E" w:rsidRDefault="00D615F9" w:rsidP="00DF6A15">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5</w:t>
      </w:r>
      <w:r w:rsidR="00E339F6" w:rsidRPr="00763B8E">
        <w:rPr>
          <w:rFonts w:ascii="Times New Roman" w:hAnsi="Times New Roman" w:cs="Times New Roman"/>
          <w:b/>
          <w:bCs/>
          <w:color w:val="auto"/>
          <w:sz w:val="28"/>
          <w:szCs w:val="28"/>
        </w:rPr>
        <w:t xml:space="preserve">. </w:t>
      </w:r>
      <w:r w:rsidR="005B3189" w:rsidRPr="00763B8E">
        <w:rPr>
          <w:rFonts w:ascii="Times New Roman" w:hAnsi="Times New Roman" w:cs="Times New Roman"/>
          <w:b/>
          <w:bCs/>
          <w:color w:val="auto"/>
          <w:sz w:val="28"/>
          <w:szCs w:val="28"/>
        </w:rPr>
        <w:t xml:space="preserve">Work </w:t>
      </w:r>
      <w:r w:rsidR="00A341B9" w:rsidRPr="00763B8E">
        <w:rPr>
          <w:rFonts w:ascii="Times New Roman" w:hAnsi="Times New Roman" w:cs="Times New Roman"/>
          <w:b/>
          <w:bCs/>
          <w:color w:val="auto"/>
          <w:sz w:val="28"/>
          <w:szCs w:val="28"/>
        </w:rPr>
        <w:t>plan.</w:t>
      </w:r>
      <w:r w:rsidR="005B3189" w:rsidRPr="00763B8E">
        <w:rPr>
          <w:rFonts w:ascii="Times New Roman" w:hAnsi="Times New Roman" w:cs="Times New Roman"/>
          <w:b/>
          <w:bCs/>
          <w:color w:val="auto"/>
          <w:sz w:val="28"/>
          <w:szCs w:val="28"/>
        </w:rPr>
        <w:t xml:space="preserve"> </w:t>
      </w:r>
    </w:p>
    <w:p w14:paraId="30D604DE" w14:textId="77777777" w:rsidR="005B3189" w:rsidRPr="00DF6A15" w:rsidRDefault="005B3189" w:rsidP="005B3189">
      <w:pPr>
        <w:rPr>
          <w:b/>
          <w:bCs/>
          <w:i/>
          <w:iCs/>
        </w:rPr>
      </w:pPr>
      <w:r w:rsidRPr="00DF6A15">
        <w:rPr>
          <w:b/>
          <w:bCs/>
          <w:i/>
          <w:iCs/>
        </w:rPr>
        <w:t>Scoping Study:</w:t>
      </w:r>
    </w:p>
    <w:p w14:paraId="1D859842" w14:textId="77777777" w:rsidR="005B3189" w:rsidRPr="00DF6A15" w:rsidRDefault="005B3189" w:rsidP="005B3189">
      <w:pPr>
        <w:numPr>
          <w:ilvl w:val="0"/>
          <w:numId w:val="35"/>
        </w:numPr>
      </w:pPr>
      <w:r w:rsidRPr="00DF6A15">
        <w:t>Fact finding/data collection:</w:t>
      </w:r>
    </w:p>
    <w:p w14:paraId="292EED20" w14:textId="18DA6A53" w:rsidR="005B3189" w:rsidRDefault="005B3189" w:rsidP="005B3189">
      <w:pPr>
        <w:numPr>
          <w:ilvl w:val="1"/>
          <w:numId w:val="35"/>
        </w:numPr>
      </w:pPr>
      <w:r w:rsidRPr="00DF6A15">
        <w:t xml:space="preserve">Conduct research to gather relevant information about the </w:t>
      </w:r>
      <w:r w:rsidR="007B1BE5">
        <w:t>electricity sector</w:t>
      </w:r>
      <w:r w:rsidRPr="00DF6A15">
        <w:t xml:space="preserve"> and its contex</w:t>
      </w:r>
      <w:r w:rsidR="00BC760F">
        <w:t>t</w:t>
      </w:r>
    </w:p>
    <w:p w14:paraId="3D66549C" w14:textId="055EDFB5" w:rsidR="00BC760F" w:rsidRPr="00DF6A15" w:rsidRDefault="00BC760F" w:rsidP="005B3189">
      <w:pPr>
        <w:numPr>
          <w:ilvl w:val="1"/>
          <w:numId w:val="35"/>
        </w:numPr>
      </w:pPr>
      <w:r>
        <w:t>Review previous public consultation for more insights</w:t>
      </w:r>
    </w:p>
    <w:p w14:paraId="084BB39A" w14:textId="19F22EE4" w:rsidR="005B3189" w:rsidRPr="00DF6A15" w:rsidRDefault="005B3189" w:rsidP="005B3189">
      <w:pPr>
        <w:numPr>
          <w:ilvl w:val="1"/>
          <w:numId w:val="35"/>
        </w:numPr>
      </w:pPr>
      <w:r w:rsidRPr="00DF6A15">
        <w:t xml:space="preserve">Collect data on environmental factors, existing regulations, and any prior studies related to similar </w:t>
      </w:r>
      <w:r w:rsidR="007B1BE5">
        <w:t>studies.</w:t>
      </w:r>
    </w:p>
    <w:p w14:paraId="5B35DFA7" w14:textId="77777777" w:rsidR="005B3189" w:rsidRPr="00DF6A15" w:rsidRDefault="005B3189" w:rsidP="005B3189">
      <w:pPr>
        <w:numPr>
          <w:ilvl w:val="0"/>
          <w:numId w:val="35"/>
        </w:numPr>
      </w:pPr>
      <w:r w:rsidRPr="00DF6A15">
        <w:t>Review of prior public consultations, identification of key stakeholders:</w:t>
      </w:r>
    </w:p>
    <w:p w14:paraId="3CD1F929" w14:textId="77777777" w:rsidR="005B3189" w:rsidRPr="00DF6A15" w:rsidRDefault="005B3189" w:rsidP="005B3189">
      <w:pPr>
        <w:numPr>
          <w:ilvl w:val="1"/>
          <w:numId w:val="35"/>
        </w:numPr>
      </w:pPr>
      <w:r w:rsidRPr="00DF6A15">
        <w:lastRenderedPageBreak/>
        <w:t>Review previous public consultations and stakeholder engagements to understand concerns, suggestions, and feedback.</w:t>
      </w:r>
    </w:p>
    <w:p w14:paraId="5E507E86" w14:textId="77777777" w:rsidR="005B3189" w:rsidRPr="00DF6A15" w:rsidRDefault="005B3189" w:rsidP="005B3189">
      <w:pPr>
        <w:numPr>
          <w:ilvl w:val="1"/>
          <w:numId w:val="35"/>
        </w:numPr>
      </w:pPr>
      <w:r w:rsidRPr="00DF6A15">
        <w:t>Identify key stakeholders including government agencies, local communities, NGOs, and experts in relevant fields.</w:t>
      </w:r>
    </w:p>
    <w:p w14:paraId="5112B258" w14:textId="77777777" w:rsidR="005B3189" w:rsidRPr="00DF6A15" w:rsidRDefault="005B3189" w:rsidP="005B3189">
      <w:pPr>
        <w:numPr>
          <w:ilvl w:val="0"/>
          <w:numId w:val="35"/>
        </w:numPr>
      </w:pPr>
      <w:r w:rsidRPr="00DF6A15">
        <w:t>Engagement of stakeholders:</w:t>
      </w:r>
    </w:p>
    <w:p w14:paraId="5550C7BD" w14:textId="77777777" w:rsidR="005B3189" w:rsidRPr="00DF6A15" w:rsidRDefault="005B3189" w:rsidP="005B3189">
      <w:pPr>
        <w:numPr>
          <w:ilvl w:val="1"/>
          <w:numId w:val="35"/>
        </w:numPr>
      </w:pPr>
      <w:r w:rsidRPr="00DF6A15">
        <w:t>Organize meetings, workshops, or interviews with identified stakeholders to gather input, address concerns, and seek collaboration.</w:t>
      </w:r>
    </w:p>
    <w:p w14:paraId="170B7B79" w14:textId="77777777" w:rsidR="005B3189" w:rsidRPr="00DF6A15" w:rsidRDefault="005B3189" w:rsidP="005B3189">
      <w:pPr>
        <w:numPr>
          <w:ilvl w:val="1"/>
          <w:numId w:val="35"/>
        </w:numPr>
      </w:pPr>
      <w:r w:rsidRPr="00DF6A15">
        <w:t>Maintain open communication channels throughout the scoping study process.</w:t>
      </w:r>
    </w:p>
    <w:p w14:paraId="2E8C9452" w14:textId="77777777" w:rsidR="005B3189" w:rsidRPr="00DF6A15" w:rsidRDefault="005B3189" w:rsidP="005B3189">
      <w:pPr>
        <w:numPr>
          <w:ilvl w:val="0"/>
          <w:numId w:val="35"/>
        </w:numPr>
      </w:pPr>
      <w:r w:rsidRPr="00DF6A15">
        <w:t>Analysis/preparation of recommendations and Scoping Report:</w:t>
      </w:r>
    </w:p>
    <w:p w14:paraId="6222CC94" w14:textId="78EBF786" w:rsidR="005B3189" w:rsidRPr="00DF6A15" w:rsidRDefault="005B3189" w:rsidP="005B3189">
      <w:pPr>
        <w:numPr>
          <w:ilvl w:val="1"/>
          <w:numId w:val="35"/>
        </w:numPr>
      </w:pPr>
      <w:r w:rsidRPr="00DF6A15">
        <w:t xml:space="preserve">Analyze collected data and stakeholder input to identify potential environmental </w:t>
      </w:r>
      <w:r w:rsidR="007B1BE5">
        <w:t xml:space="preserve">and social </w:t>
      </w:r>
      <w:r w:rsidRPr="00DF6A15">
        <w:t>impacts and regulatory requirements.</w:t>
      </w:r>
    </w:p>
    <w:p w14:paraId="6C0F2BD8" w14:textId="32A615B9" w:rsidR="005B3189" w:rsidRPr="00DF6A15" w:rsidRDefault="005B3189" w:rsidP="005B3189">
      <w:pPr>
        <w:numPr>
          <w:ilvl w:val="1"/>
          <w:numId w:val="35"/>
        </w:numPr>
      </w:pPr>
      <w:r w:rsidRPr="00DF6A15">
        <w:t>Prepare recommendations for the scope of the subsequent SE</w:t>
      </w:r>
      <w:r w:rsidR="007B1BE5">
        <w:t>S</w:t>
      </w:r>
      <w:r w:rsidRPr="00DF6A15">
        <w:t>A study, including suggested methodologies and focus areas.</w:t>
      </w:r>
    </w:p>
    <w:p w14:paraId="1D11F4C2" w14:textId="77777777" w:rsidR="005B3189" w:rsidRPr="00DF6A15" w:rsidRDefault="005B3189" w:rsidP="005B3189">
      <w:pPr>
        <w:numPr>
          <w:ilvl w:val="1"/>
          <w:numId w:val="35"/>
        </w:numPr>
      </w:pPr>
      <w:r w:rsidRPr="00DF6A15">
        <w:t>Compile findings, analysis, and recommendations into a comprehensive Scoping Report for review and approval.</w:t>
      </w:r>
    </w:p>
    <w:p w14:paraId="54E7708C" w14:textId="77777777" w:rsidR="005B3189" w:rsidRPr="00DF6A15" w:rsidRDefault="005B3189" w:rsidP="005B3189">
      <w:pPr>
        <w:rPr>
          <w:b/>
          <w:bCs/>
          <w:i/>
          <w:iCs/>
        </w:rPr>
      </w:pPr>
      <w:r w:rsidRPr="00DF6A15">
        <w:rPr>
          <w:b/>
          <w:bCs/>
          <w:i/>
          <w:iCs/>
        </w:rPr>
        <w:t>SEA Study:</w:t>
      </w:r>
    </w:p>
    <w:p w14:paraId="4DD57BEE" w14:textId="77777777" w:rsidR="005B3189" w:rsidRPr="00DF6A15" w:rsidRDefault="005B3189" w:rsidP="005B3189">
      <w:pPr>
        <w:numPr>
          <w:ilvl w:val="0"/>
          <w:numId w:val="36"/>
        </w:numPr>
      </w:pPr>
      <w:r w:rsidRPr="00DF6A15">
        <w:t>Fact finding/data collection:</w:t>
      </w:r>
    </w:p>
    <w:p w14:paraId="120047D5" w14:textId="1B128AED" w:rsidR="005B3189" w:rsidRPr="00DF6A15" w:rsidRDefault="005B3189" w:rsidP="005B3189">
      <w:pPr>
        <w:numPr>
          <w:ilvl w:val="1"/>
          <w:numId w:val="36"/>
        </w:numPr>
      </w:pPr>
      <w:r w:rsidRPr="00DF6A15">
        <w:t xml:space="preserve">Continue data collection process, focusing on specific environmental </w:t>
      </w:r>
      <w:r w:rsidR="007B1BE5">
        <w:t xml:space="preserve">and social </w:t>
      </w:r>
      <w:r w:rsidRPr="00DF6A15">
        <w:t xml:space="preserve">parameters relevant to the </w:t>
      </w:r>
      <w:r w:rsidR="007B1BE5">
        <w:t xml:space="preserve">sector. </w:t>
      </w:r>
    </w:p>
    <w:p w14:paraId="2FD07F36" w14:textId="77777777" w:rsidR="005B3189" w:rsidRPr="00DF6A15" w:rsidRDefault="005B3189" w:rsidP="005B3189">
      <w:pPr>
        <w:numPr>
          <w:ilvl w:val="1"/>
          <w:numId w:val="36"/>
        </w:numPr>
      </w:pPr>
      <w:r w:rsidRPr="00DF6A15">
        <w:t>Gather additional information if needed based on the findings from the scoping study.</w:t>
      </w:r>
    </w:p>
    <w:p w14:paraId="6CAD035F" w14:textId="77777777" w:rsidR="005B3189" w:rsidRPr="00DF6A15" w:rsidRDefault="005B3189" w:rsidP="005B3189">
      <w:pPr>
        <w:numPr>
          <w:ilvl w:val="0"/>
          <w:numId w:val="36"/>
        </w:numPr>
      </w:pPr>
      <w:r w:rsidRPr="00DF6A15">
        <w:t>Field trips:</w:t>
      </w:r>
    </w:p>
    <w:p w14:paraId="44673BA9" w14:textId="408F4F6A" w:rsidR="005B3189" w:rsidRPr="00DF6A15" w:rsidRDefault="005B3189" w:rsidP="005B3189">
      <w:pPr>
        <w:numPr>
          <w:ilvl w:val="1"/>
          <w:numId w:val="36"/>
        </w:numPr>
      </w:pPr>
      <w:r w:rsidRPr="00DF6A15">
        <w:t xml:space="preserve">Conduct field visits to observe firsthand environmental </w:t>
      </w:r>
      <w:r w:rsidR="007B1BE5">
        <w:t>and social c</w:t>
      </w:r>
      <w:r w:rsidRPr="00DF6A15">
        <w:t>onditions, biodiversity, and any existing land use.</w:t>
      </w:r>
    </w:p>
    <w:p w14:paraId="4768AEAA" w14:textId="77777777" w:rsidR="005B3189" w:rsidRPr="00DF6A15" w:rsidRDefault="005B3189" w:rsidP="005B3189">
      <w:pPr>
        <w:numPr>
          <w:ilvl w:val="0"/>
          <w:numId w:val="36"/>
        </w:numPr>
      </w:pPr>
      <w:r w:rsidRPr="00DF6A15">
        <w:t>Engagement of stakeholders:</w:t>
      </w:r>
    </w:p>
    <w:p w14:paraId="16019BA8" w14:textId="5EB4AB5C" w:rsidR="005B3189" w:rsidRPr="00DF6A15" w:rsidRDefault="005B3189" w:rsidP="005B3189">
      <w:pPr>
        <w:numPr>
          <w:ilvl w:val="1"/>
          <w:numId w:val="36"/>
        </w:numPr>
      </w:pPr>
      <w:r w:rsidRPr="00DF6A15">
        <w:t>Maintain stakeholder engagement activities, updating them on the progress of the SE</w:t>
      </w:r>
      <w:r w:rsidR="007B1BE5">
        <w:t>S</w:t>
      </w:r>
      <w:r w:rsidRPr="00DF6A15">
        <w:t>A study and seeking further input or feedback.</w:t>
      </w:r>
    </w:p>
    <w:p w14:paraId="56BD4516" w14:textId="77777777" w:rsidR="005B3189" w:rsidRPr="00DF6A15" w:rsidRDefault="005B3189" w:rsidP="005B3189">
      <w:pPr>
        <w:numPr>
          <w:ilvl w:val="1"/>
          <w:numId w:val="36"/>
        </w:numPr>
      </w:pPr>
      <w:r w:rsidRPr="00DF6A15">
        <w:t>Ensure transparency and inclusivity in the engagement process.</w:t>
      </w:r>
    </w:p>
    <w:p w14:paraId="36103AA7" w14:textId="7E0CC2AA" w:rsidR="005B3189" w:rsidRPr="00DF6A15" w:rsidRDefault="005B3189" w:rsidP="005B3189">
      <w:pPr>
        <w:numPr>
          <w:ilvl w:val="0"/>
          <w:numId w:val="36"/>
        </w:numPr>
      </w:pPr>
      <w:r w:rsidRPr="00DF6A15">
        <w:t xml:space="preserve">Identification and detailed analysis of potential environmental </w:t>
      </w:r>
      <w:r w:rsidR="007B1BE5">
        <w:t xml:space="preserve">and social </w:t>
      </w:r>
      <w:r w:rsidRPr="00DF6A15">
        <w:t>impacts:</w:t>
      </w:r>
    </w:p>
    <w:p w14:paraId="27A6F475" w14:textId="38565CD4" w:rsidR="005B3189" w:rsidRPr="00DF6A15" w:rsidRDefault="005B3189" w:rsidP="005B3189">
      <w:pPr>
        <w:numPr>
          <w:ilvl w:val="1"/>
          <w:numId w:val="36"/>
        </w:numPr>
      </w:pPr>
      <w:r w:rsidRPr="00DF6A15">
        <w:t xml:space="preserve">Utilize collected data to identify potential environmental </w:t>
      </w:r>
      <w:r w:rsidR="007B1BE5">
        <w:t xml:space="preserve">and social </w:t>
      </w:r>
      <w:r w:rsidRPr="00DF6A15">
        <w:t>impacts across various phases of the project.</w:t>
      </w:r>
    </w:p>
    <w:p w14:paraId="4AFCF389" w14:textId="77777777" w:rsidR="005B3189" w:rsidRPr="00DF6A15" w:rsidRDefault="005B3189" w:rsidP="005B3189">
      <w:pPr>
        <w:numPr>
          <w:ilvl w:val="1"/>
          <w:numId w:val="36"/>
        </w:numPr>
      </w:pPr>
      <w:r w:rsidRPr="00DF6A15">
        <w:t>Conduct detailed analysis using appropriate tools and methodologies to assess the magnitude and significance of these impacts.</w:t>
      </w:r>
    </w:p>
    <w:p w14:paraId="6517B019" w14:textId="77777777" w:rsidR="005B3189" w:rsidRPr="00DF6A15" w:rsidRDefault="005B3189" w:rsidP="005B3189">
      <w:pPr>
        <w:numPr>
          <w:ilvl w:val="0"/>
          <w:numId w:val="36"/>
        </w:numPr>
      </w:pPr>
      <w:r w:rsidRPr="00DF6A15">
        <w:t>Preparation of recommendations to mitigate negative environmental effects and optimize positive effects:</w:t>
      </w:r>
    </w:p>
    <w:p w14:paraId="58CBAD69" w14:textId="77777777" w:rsidR="005B3189" w:rsidRPr="00DF6A15" w:rsidRDefault="005B3189" w:rsidP="005B3189">
      <w:pPr>
        <w:numPr>
          <w:ilvl w:val="1"/>
          <w:numId w:val="36"/>
        </w:numPr>
      </w:pPr>
      <w:r w:rsidRPr="00DF6A15">
        <w:t>Develop strategies and measures to mitigate identified negative environmental impacts, ensuring compliance with relevant regulations and standards.</w:t>
      </w:r>
    </w:p>
    <w:p w14:paraId="18C8786D" w14:textId="77777777" w:rsidR="005B3189" w:rsidRPr="00DF6A15" w:rsidRDefault="005B3189" w:rsidP="005B3189">
      <w:pPr>
        <w:numPr>
          <w:ilvl w:val="1"/>
          <w:numId w:val="36"/>
        </w:numPr>
      </w:pPr>
      <w:r w:rsidRPr="00DF6A15">
        <w:t>Identify opportunities to enhance positive environmental outcomes and socio-economic benefits.</w:t>
      </w:r>
    </w:p>
    <w:p w14:paraId="5DC0BAEC" w14:textId="77777777" w:rsidR="005B3189" w:rsidRPr="00DF6A15" w:rsidRDefault="005B3189" w:rsidP="005B3189">
      <w:pPr>
        <w:numPr>
          <w:ilvl w:val="1"/>
          <w:numId w:val="36"/>
        </w:numPr>
      </w:pPr>
      <w:r w:rsidRPr="00DF6A15">
        <w:t>Prioritize actions based on feasibility, effectiveness, and stakeholder input.</w:t>
      </w:r>
    </w:p>
    <w:p w14:paraId="45CFDAF5" w14:textId="77777777" w:rsidR="005B3189" w:rsidRPr="00DF6A15" w:rsidRDefault="005B3189" w:rsidP="005B3189">
      <w:pPr>
        <w:numPr>
          <w:ilvl w:val="0"/>
          <w:numId w:val="36"/>
        </w:numPr>
      </w:pPr>
      <w:r w:rsidRPr="00DF6A15">
        <w:t>Preparation of recommendations and draft SEA report:</w:t>
      </w:r>
    </w:p>
    <w:p w14:paraId="520FC012" w14:textId="77777777" w:rsidR="005B3189" w:rsidRPr="00DF6A15" w:rsidRDefault="005B3189" w:rsidP="005B3189">
      <w:pPr>
        <w:numPr>
          <w:ilvl w:val="1"/>
          <w:numId w:val="36"/>
        </w:numPr>
      </w:pPr>
      <w:r w:rsidRPr="00DF6A15">
        <w:t>Compile recommendations into a comprehensive document, outlining proposed mitigation measures and enhancement strategies.</w:t>
      </w:r>
    </w:p>
    <w:p w14:paraId="41484EED" w14:textId="77777777" w:rsidR="005B3189" w:rsidRPr="00DF6A15" w:rsidRDefault="005B3189" w:rsidP="005B3189">
      <w:pPr>
        <w:numPr>
          <w:ilvl w:val="1"/>
          <w:numId w:val="36"/>
        </w:numPr>
      </w:pPr>
      <w:r w:rsidRPr="00DF6A15">
        <w:t>Prepare a draft SEA report that includes findings, analysis, recommendations, and supporting data for review and feedback.</w:t>
      </w:r>
    </w:p>
    <w:p w14:paraId="0E08B284" w14:textId="77777777" w:rsidR="005B3189" w:rsidRPr="00DF6A15" w:rsidRDefault="005B3189" w:rsidP="005B3189">
      <w:pPr>
        <w:numPr>
          <w:ilvl w:val="0"/>
          <w:numId w:val="36"/>
        </w:numPr>
      </w:pPr>
      <w:r w:rsidRPr="00DF6A15">
        <w:t>Preparation of the final SEA report:</w:t>
      </w:r>
    </w:p>
    <w:p w14:paraId="7EB53250" w14:textId="77777777" w:rsidR="005B3189" w:rsidRPr="00DF6A15" w:rsidRDefault="005B3189" w:rsidP="005B3189">
      <w:pPr>
        <w:numPr>
          <w:ilvl w:val="1"/>
          <w:numId w:val="36"/>
        </w:numPr>
      </w:pPr>
      <w:r w:rsidRPr="00DF6A15">
        <w:lastRenderedPageBreak/>
        <w:t>Incorporate feedback received during the review process into the draft SEA report.</w:t>
      </w:r>
    </w:p>
    <w:p w14:paraId="08582864" w14:textId="77777777" w:rsidR="005B3189" w:rsidRPr="00DF6A15" w:rsidRDefault="005B3189" w:rsidP="005B3189">
      <w:pPr>
        <w:numPr>
          <w:ilvl w:val="1"/>
          <w:numId w:val="36"/>
        </w:numPr>
      </w:pPr>
      <w:r w:rsidRPr="00DF6A15">
        <w:t>Finalize the report, ensuring accuracy, clarity, and compliance with relevant guidelines and standards.</w:t>
      </w:r>
    </w:p>
    <w:p w14:paraId="39124B70" w14:textId="77777777" w:rsidR="005B3189" w:rsidRPr="00DF6A15" w:rsidRDefault="005B3189" w:rsidP="005B3189">
      <w:pPr>
        <w:numPr>
          <w:ilvl w:val="1"/>
          <w:numId w:val="36"/>
        </w:numPr>
      </w:pPr>
      <w:r w:rsidRPr="00DF6A15">
        <w:t>Submit the final SEA report to the appropriate authorities for approval and dissemination to stakeholders.</w:t>
      </w:r>
    </w:p>
    <w:p w14:paraId="40993A3E" w14:textId="77777777" w:rsidR="005B3189" w:rsidRDefault="005B3189" w:rsidP="00E339F6">
      <w:pPr>
        <w:rPr>
          <w:b/>
          <w:bCs/>
        </w:rPr>
      </w:pPr>
    </w:p>
    <w:p w14:paraId="3E09E0E1" w14:textId="3DCF8936" w:rsidR="00E339F6" w:rsidRPr="00763B8E" w:rsidRDefault="00D615F9" w:rsidP="00763B8E">
      <w:pPr>
        <w:pStyle w:val="Heading2"/>
        <w:rPr>
          <w:rFonts w:ascii="Times New Roman" w:hAnsi="Times New Roman" w:cs="Times New Roman"/>
          <w:b/>
          <w:bCs/>
          <w:color w:val="auto"/>
          <w:sz w:val="28"/>
          <w:szCs w:val="28"/>
        </w:rPr>
      </w:pPr>
      <w:r w:rsidRPr="00763B8E">
        <w:rPr>
          <w:rFonts w:ascii="Times New Roman" w:hAnsi="Times New Roman" w:cs="Times New Roman"/>
          <w:b/>
          <w:bCs/>
          <w:color w:val="auto"/>
          <w:sz w:val="28"/>
          <w:szCs w:val="28"/>
        </w:rPr>
        <w:t xml:space="preserve">6. </w:t>
      </w:r>
      <w:r w:rsidR="00E339F6" w:rsidRPr="00763B8E">
        <w:rPr>
          <w:rFonts w:ascii="Times New Roman" w:hAnsi="Times New Roman" w:cs="Times New Roman"/>
          <w:b/>
          <w:bCs/>
          <w:color w:val="auto"/>
          <w:sz w:val="28"/>
          <w:szCs w:val="28"/>
        </w:rPr>
        <w:t>Deliverables</w:t>
      </w:r>
    </w:p>
    <w:p w14:paraId="01E5ECC6" w14:textId="7A8466EC" w:rsidR="00E339F6" w:rsidRPr="00DF6A15" w:rsidRDefault="00E339F6" w:rsidP="00E339F6">
      <w:r w:rsidRPr="00DF6A15">
        <w:t>The SES</w:t>
      </w:r>
      <w:r w:rsidR="00BC760F">
        <w:t>A w</w:t>
      </w:r>
      <w:r w:rsidRPr="00DF6A15">
        <w:t>ill deliver the following key outputs:</w:t>
      </w:r>
    </w:p>
    <w:p w14:paraId="6CB91569" w14:textId="77777777" w:rsidR="00E339F6" w:rsidRPr="00DF6A15" w:rsidRDefault="00E339F6" w:rsidP="00DF6A15">
      <w:pPr>
        <w:pStyle w:val="ListParagraph"/>
        <w:numPr>
          <w:ilvl w:val="0"/>
          <w:numId w:val="28"/>
        </w:numPr>
        <w:rPr>
          <w:rFonts w:ascii="Times New Roman" w:hAnsi="Times New Roman" w:cs="Times New Roman"/>
        </w:rPr>
      </w:pPr>
      <w:r w:rsidRPr="00DF6A15">
        <w:rPr>
          <w:rFonts w:ascii="Times New Roman" w:hAnsi="Times New Roman" w:cs="Times New Roman"/>
        </w:rPr>
        <w:t>Scoping study report outlining the methodology, findings, and recommendations.</w:t>
      </w:r>
    </w:p>
    <w:p w14:paraId="137740CE" w14:textId="77777777" w:rsidR="00E339F6" w:rsidRPr="00DF6A15" w:rsidRDefault="00E339F6" w:rsidP="00DF6A15">
      <w:pPr>
        <w:pStyle w:val="ListParagraph"/>
        <w:numPr>
          <w:ilvl w:val="0"/>
          <w:numId w:val="28"/>
        </w:numPr>
        <w:rPr>
          <w:rFonts w:ascii="Times New Roman" w:hAnsi="Times New Roman" w:cs="Times New Roman"/>
        </w:rPr>
      </w:pPr>
      <w:r w:rsidRPr="00DF6A15">
        <w:rPr>
          <w:rFonts w:ascii="Times New Roman" w:hAnsi="Times New Roman" w:cs="Times New Roman"/>
        </w:rPr>
        <w:t>SESA study report presenting the environmental and social impact assessment results, mitigation measures, and monitoring framework.</w:t>
      </w:r>
    </w:p>
    <w:p w14:paraId="60FDD934" w14:textId="77777777" w:rsidR="00E339F6" w:rsidRPr="00DF6A15" w:rsidRDefault="00E339F6" w:rsidP="00DF6A15">
      <w:pPr>
        <w:pStyle w:val="ListParagraph"/>
        <w:numPr>
          <w:ilvl w:val="0"/>
          <w:numId w:val="28"/>
        </w:numPr>
        <w:rPr>
          <w:rFonts w:ascii="Times New Roman" w:hAnsi="Times New Roman" w:cs="Times New Roman"/>
        </w:rPr>
      </w:pPr>
      <w:r w:rsidRPr="00DF6A15">
        <w:rPr>
          <w:rFonts w:ascii="Times New Roman" w:hAnsi="Times New Roman" w:cs="Times New Roman"/>
        </w:rPr>
        <w:t>Stakeholder engagement plan detailing the consultation process, participant feedback, and outcomes.</w:t>
      </w:r>
    </w:p>
    <w:p w14:paraId="05828CD7" w14:textId="77777777" w:rsidR="00E339F6" w:rsidRPr="00DF6A15" w:rsidRDefault="00E339F6" w:rsidP="00DF6A15">
      <w:pPr>
        <w:pStyle w:val="ListParagraph"/>
        <w:numPr>
          <w:ilvl w:val="0"/>
          <w:numId w:val="28"/>
        </w:numPr>
        <w:rPr>
          <w:rFonts w:ascii="Times New Roman" w:hAnsi="Times New Roman" w:cs="Times New Roman"/>
        </w:rPr>
      </w:pPr>
      <w:r w:rsidRPr="00DF6A15">
        <w:rPr>
          <w:rFonts w:ascii="Times New Roman" w:hAnsi="Times New Roman" w:cs="Times New Roman"/>
        </w:rPr>
        <w:t>Capacity-building strategy and training materials for institutional strengthening and knowledge transfer.</w:t>
      </w:r>
    </w:p>
    <w:p w14:paraId="7C61CBA0" w14:textId="463D7032" w:rsidR="00E339F6" w:rsidRPr="00DF6A15" w:rsidRDefault="00E339F6" w:rsidP="00DF6A15">
      <w:pPr>
        <w:pStyle w:val="ListParagraph"/>
        <w:numPr>
          <w:ilvl w:val="0"/>
          <w:numId w:val="28"/>
        </w:numPr>
        <w:rPr>
          <w:rFonts w:ascii="Times New Roman" w:hAnsi="Times New Roman" w:cs="Times New Roman"/>
        </w:rPr>
      </w:pPr>
      <w:r w:rsidRPr="00DF6A15">
        <w:rPr>
          <w:rFonts w:ascii="Times New Roman" w:hAnsi="Times New Roman" w:cs="Times New Roman"/>
        </w:rPr>
        <w:t xml:space="preserve">Communication plan and outreach materials for disseminating </w:t>
      </w:r>
      <w:r w:rsidR="006C0D58">
        <w:rPr>
          <w:rFonts w:ascii="Times New Roman" w:hAnsi="Times New Roman" w:cs="Times New Roman"/>
        </w:rPr>
        <w:t xml:space="preserve">and disclosure of </w:t>
      </w:r>
      <w:r w:rsidRPr="00DF6A15">
        <w:rPr>
          <w:rFonts w:ascii="Times New Roman" w:hAnsi="Times New Roman" w:cs="Times New Roman"/>
        </w:rPr>
        <w:t>SESA findings</w:t>
      </w:r>
      <w:r w:rsidR="000B09C7">
        <w:rPr>
          <w:rFonts w:ascii="Times New Roman" w:hAnsi="Times New Roman" w:cs="Times New Roman"/>
        </w:rPr>
        <w:t xml:space="preserve"> and recommendations</w:t>
      </w:r>
      <w:r w:rsidRPr="00DF6A15">
        <w:rPr>
          <w:rFonts w:ascii="Times New Roman" w:hAnsi="Times New Roman" w:cs="Times New Roman"/>
        </w:rPr>
        <w:t xml:space="preserve"> and engaging</w:t>
      </w:r>
      <w:r w:rsidR="000B09C7">
        <w:rPr>
          <w:rFonts w:ascii="Times New Roman" w:hAnsi="Times New Roman" w:cs="Times New Roman"/>
        </w:rPr>
        <w:t xml:space="preserve"> sector</w:t>
      </w:r>
      <w:r w:rsidRPr="00DF6A15">
        <w:rPr>
          <w:rFonts w:ascii="Times New Roman" w:hAnsi="Times New Roman" w:cs="Times New Roman"/>
        </w:rPr>
        <w:t xml:space="preserve"> stakeholders.</w:t>
      </w:r>
    </w:p>
    <w:p w14:paraId="004D85A6" w14:textId="77777777" w:rsidR="00B72584" w:rsidRPr="00EA5690" w:rsidRDefault="00B72584" w:rsidP="00B72584">
      <w:pPr>
        <w:pStyle w:val="Caption"/>
        <w:keepNext/>
        <w:spacing w:after="120"/>
        <w:jc w:val="center"/>
        <w:rPr>
          <w:rFonts w:ascii="Times New Roman" w:hAnsi="Times New Roman"/>
          <w:b/>
          <w:bCs/>
          <w:i w:val="0"/>
          <w:iCs w:val="0"/>
          <w:color w:val="auto"/>
          <w:sz w:val="24"/>
          <w:szCs w:val="24"/>
        </w:rPr>
      </w:pPr>
      <w:r w:rsidRPr="00EA5690">
        <w:rPr>
          <w:rFonts w:ascii="Times New Roman" w:hAnsi="Times New Roman"/>
          <w:b/>
          <w:bCs/>
          <w:i w:val="0"/>
          <w:iCs w:val="0"/>
          <w:color w:val="auto"/>
          <w:sz w:val="24"/>
          <w:szCs w:val="24"/>
        </w:rPr>
        <w:t xml:space="preserve">Table </w:t>
      </w:r>
      <w:r w:rsidRPr="00EA5690">
        <w:rPr>
          <w:rFonts w:ascii="Times New Roman" w:hAnsi="Times New Roman"/>
          <w:b/>
          <w:bCs/>
          <w:i w:val="0"/>
          <w:iCs w:val="0"/>
          <w:color w:val="auto"/>
          <w:sz w:val="24"/>
          <w:szCs w:val="24"/>
        </w:rPr>
        <w:fldChar w:fldCharType="begin"/>
      </w:r>
      <w:r w:rsidRPr="00EA5690">
        <w:rPr>
          <w:rFonts w:ascii="Times New Roman" w:hAnsi="Times New Roman"/>
          <w:b/>
          <w:bCs/>
          <w:i w:val="0"/>
          <w:iCs w:val="0"/>
          <w:color w:val="auto"/>
          <w:sz w:val="24"/>
          <w:szCs w:val="24"/>
        </w:rPr>
        <w:instrText xml:space="preserve"> SEQ Table \* ARABIC </w:instrText>
      </w:r>
      <w:r w:rsidRPr="00EA5690">
        <w:rPr>
          <w:rFonts w:ascii="Times New Roman" w:hAnsi="Times New Roman"/>
          <w:b/>
          <w:bCs/>
          <w:i w:val="0"/>
          <w:iCs w:val="0"/>
          <w:color w:val="auto"/>
          <w:sz w:val="24"/>
          <w:szCs w:val="24"/>
        </w:rPr>
        <w:fldChar w:fldCharType="separate"/>
      </w:r>
      <w:r w:rsidRPr="00EA5690">
        <w:rPr>
          <w:rFonts w:ascii="Times New Roman" w:hAnsi="Times New Roman"/>
          <w:b/>
          <w:bCs/>
          <w:i w:val="0"/>
          <w:iCs w:val="0"/>
          <w:noProof/>
          <w:color w:val="auto"/>
          <w:sz w:val="24"/>
          <w:szCs w:val="24"/>
        </w:rPr>
        <w:t>1</w:t>
      </w:r>
      <w:r w:rsidRPr="00EA5690">
        <w:rPr>
          <w:rFonts w:ascii="Times New Roman" w:hAnsi="Times New Roman"/>
          <w:b/>
          <w:bCs/>
          <w:i w:val="0"/>
          <w:iCs w:val="0"/>
          <w:color w:val="auto"/>
          <w:sz w:val="24"/>
          <w:szCs w:val="24"/>
        </w:rPr>
        <w:fldChar w:fldCharType="end"/>
      </w:r>
      <w:r w:rsidRPr="00EA5690">
        <w:rPr>
          <w:rFonts w:ascii="Times New Roman" w:hAnsi="Times New Roman"/>
          <w:b/>
          <w:bCs/>
          <w:i w:val="0"/>
          <w:iCs w:val="0"/>
          <w:color w:val="auto"/>
          <w:sz w:val="24"/>
          <w:szCs w:val="24"/>
        </w:rPr>
        <w:t>: Deliverables and Timeframes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937"/>
        <w:gridCol w:w="3426"/>
      </w:tblGrid>
      <w:tr w:rsidR="00B72584" w:rsidRPr="00EA5690" w14:paraId="01A322CF" w14:textId="77777777" w:rsidTr="00661D03">
        <w:trPr>
          <w:jc w:val="center"/>
        </w:trPr>
        <w:tc>
          <w:tcPr>
            <w:tcW w:w="988" w:type="dxa"/>
            <w:shd w:val="clear" w:color="auto" w:fill="auto"/>
          </w:tcPr>
          <w:p w14:paraId="390CEDB3" w14:textId="77777777" w:rsidR="00B72584" w:rsidRPr="00661D03" w:rsidRDefault="00B72584" w:rsidP="0041743F">
            <w:pPr>
              <w:jc w:val="both"/>
              <w:rPr>
                <w:b/>
                <w:bCs/>
              </w:rPr>
            </w:pPr>
            <w:r w:rsidRPr="00661D03">
              <w:rPr>
                <w:b/>
                <w:bCs/>
              </w:rPr>
              <w:t>No.</w:t>
            </w:r>
          </w:p>
        </w:tc>
        <w:tc>
          <w:tcPr>
            <w:tcW w:w="4937" w:type="dxa"/>
            <w:shd w:val="clear" w:color="auto" w:fill="auto"/>
          </w:tcPr>
          <w:p w14:paraId="4007AEF1" w14:textId="77777777" w:rsidR="00B72584" w:rsidRPr="00661D03" w:rsidRDefault="00B72584" w:rsidP="0041743F">
            <w:pPr>
              <w:jc w:val="both"/>
              <w:rPr>
                <w:b/>
                <w:bCs/>
              </w:rPr>
            </w:pPr>
            <w:r w:rsidRPr="00661D03">
              <w:rPr>
                <w:b/>
                <w:bCs/>
              </w:rPr>
              <w:t>Deliverable</w:t>
            </w:r>
          </w:p>
        </w:tc>
        <w:tc>
          <w:tcPr>
            <w:tcW w:w="3426" w:type="dxa"/>
            <w:shd w:val="clear" w:color="auto" w:fill="auto"/>
          </w:tcPr>
          <w:p w14:paraId="01CF1D49" w14:textId="77777777" w:rsidR="00B72584" w:rsidRPr="00661D03" w:rsidRDefault="00B72584" w:rsidP="0041743F">
            <w:pPr>
              <w:jc w:val="both"/>
              <w:rPr>
                <w:b/>
                <w:bCs/>
              </w:rPr>
            </w:pPr>
            <w:r w:rsidRPr="00661D03">
              <w:rPr>
                <w:b/>
                <w:bCs/>
              </w:rPr>
              <w:t>Deadline for Deliverable</w:t>
            </w:r>
          </w:p>
        </w:tc>
      </w:tr>
      <w:tr w:rsidR="000917BD" w:rsidRPr="00EA5690" w14:paraId="55687953" w14:textId="77777777" w:rsidTr="00661D03">
        <w:trPr>
          <w:jc w:val="center"/>
        </w:trPr>
        <w:tc>
          <w:tcPr>
            <w:tcW w:w="988" w:type="dxa"/>
            <w:shd w:val="clear" w:color="auto" w:fill="auto"/>
          </w:tcPr>
          <w:p w14:paraId="6A7B15E6" w14:textId="77777777" w:rsidR="000917BD" w:rsidRPr="00661D03" w:rsidRDefault="000917BD" w:rsidP="000917BD">
            <w:pPr>
              <w:widowControl w:val="0"/>
              <w:autoSpaceDE w:val="0"/>
              <w:autoSpaceDN w:val="0"/>
              <w:adjustRightInd w:val="0"/>
              <w:ind w:left="360"/>
              <w:jc w:val="both"/>
            </w:pPr>
            <w:r w:rsidRPr="00661D03">
              <w:t>1</w:t>
            </w:r>
          </w:p>
        </w:tc>
        <w:tc>
          <w:tcPr>
            <w:tcW w:w="4937" w:type="dxa"/>
            <w:shd w:val="clear" w:color="auto" w:fill="auto"/>
          </w:tcPr>
          <w:p w14:paraId="0F03F9F5" w14:textId="50235C28" w:rsidR="000917BD" w:rsidRPr="00661D03" w:rsidRDefault="000917BD" w:rsidP="000917BD">
            <w:pPr>
              <w:jc w:val="both"/>
            </w:pPr>
            <w:r w:rsidRPr="00661D03">
              <w:t>Inception report, including the proposed analytical framework and detailed report outline</w:t>
            </w:r>
          </w:p>
        </w:tc>
        <w:tc>
          <w:tcPr>
            <w:tcW w:w="3426" w:type="dxa"/>
            <w:shd w:val="clear" w:color="auto" w:fill="auto"/>
          </w:tcPr>
          <w:p w14:paraId="2698F7D5" w14:textId="27926000" w:rsidR="000917BD" w:rsidRPr="00661D03" w:rsidRDefault="000917BD" w:rsidP="000917BD">
            <w:pPr>
              <w:jc w:val="both"/>
            </w:pPr>
            <w:r w:rsidRPr="00661D03">
              <w:t>3 weeks after Contract Signing</w:t>
            </w:r>
          </w:p>
        </w:tc>
      </w:tr>
      <w:tr w:rsidR="00CB42C8" w:rsidRPr="00EA5690" w14:paraId="7D1F996B" w14:textId="77777777" w:rsidTr="0091723B">
        <w:trPr>
          <w:jc w:val="center"/>
        </w:trPr>
        <w:tc>
          <w:tcPr>
            <w:tcW w:w="988" w:type="dxa"/>
            <w:shd w:val="clear" w:color="auto" w:fill="auto"/>
          </w:tcPr>
          <w:p w14:paraId="232C06A8" w14:textId="50470214" w:rsidR="00CB42C8" w:rsidRPr="00661D03" w:rsidRDefault="00CB42C8" w:rsidP="000917BD">
            <w:pPr>
              <w:widowControl w:val="0"/>
              <w:autoSpaceDE w:val="0"/>
              <w:autoSpaceDN w:val="0"/>
              <w:adjustRightInd w:val="0"/>
              <w:ind w:left="360"/>
              <w:jc w:val="both"/>
            </w:pPr>
            <w:r w:rsidRPr="00661D03">
              <w:t>2</w:t>
            </w:r>
          </w:p>
        </w:tc>
        <w:tc>
          <w:tcPr>
            <w:tcW w:w="4937" w:type="dxa"/>
            <w:shd w:val="clear" w:color="auto" w:fill="auto"/>
          </w:tcPr>
          <w:p w14:paraId="6B0822BC" w14:textId="3C4BD322" w:rsidR="00CB42C8" w:rsidRPr="00661D03" w:rsidRDefault="00CB42C8" w:rsidP="000917BD">
            <w:pPr>
              <w:jc w:val="both"/>
            </w:pPr>
            <w:r w:rsidRPr="00661D03">
              <w:t xml:space="preserve">SESA Scoping Report </w:t>
            </w:r>
          </w:p>
        </w:tc>
        <w:tc>
          <w:tcPr>
            <w:tcW w:w="3426" w:type="dxa"/>
            <w:shd w:val="clear" w:color="auto" w:fill="auto"/>
          </w:tcPr>
          <w:p w14:paraId="32297FFB" w14:textId="36B60CA4" w:rsidR="00CB42C8" w:rsidRPr="00661D03" w:rsidRDefault="00CB42C8" w:rsidP="000917BD">
            <w:pPr>
              <w:jc w:val="both"/>
            </w:pPr>
            <w:r w:rsidRPr="00661D03">
              <w:t xml:space="preserve">1 Months after inception Report </w:t>
            </w:r>
          </w:p>
        </w:tc>
      </w:tr>
      <w:tr w:rsidR="000917BD" w:rsidRPr="00EA5690" w14:paraId="0693BD76" w14:textId="77777777" w:rsidTr="00661D03">
        <w:trPr>
          <w:jc w:val="center"/>
        </w:trPr>
        <w:tc>
          <w:tcPr>
            <w:tcW w:w="988" w:type="dxa"/>
            <w:shd w:val="clear" w:color="auto" w:fill="auto"/>
          </w:tcPr>
          <w:p w14:paraId="240341EA" w14:textId="452A4A4F" w:rsidR="000917BD" w:rsidRPr="00661D03" w:rsidRDefault="000917BD" w:rsidP="000917BD">
            <w:pPr>
              <w:widowControl w:val="0"/>
              <w:autoSpaceDE w:val="0"/>
              <w:autoSpaceDN w:val="0"/>
              <w:adjustRightInd w:val="0"/>
              <w:ind w:left="360"/>
              <w:jc w:val="both"/>
            </w:pPr>
            <w:r w:rsidRPr="00661D03">
              <w:t>2</w:t>
            </w:r>
          </w:p>
        </w:tc>
        <w:tc>
          <w:tcPr>
            <w:tcW w:w="4937" w:type="dxa"/>
            <w:shd w:val="clear" w:color="auto" w:fill="auto"/>
          </w:tcPr>
          <w:p w14:paraId="441EAA0A" w14:textId="2DB3075F" w:rsidR="000917BD" w:rsidRPr="00661D03" w:rsidRDefault="0091723B" w:rsidP="00DF6A15">
            <w:pPr>
              <w:jc w:val="both"/>
            </w:pPr>
            <w:r w:rsidRPr="00661D03">
              <w:t xml:space="preserve">Submission of </w:t>
            </w:r>
            <w:r w:rsidR="000917BD" w:rsidRPr="00661D03">
              <w:t>Draft SESA</w:t>
            </w:r>
            <w:r w:rsidRPr="00661D03">
              <w:t xml:space="preserve"> Report </w:t>
            </w:r>
          </w:p>
        </w:tc>
        <w:tc>
          <w:tcPr>
            <w:tcW w:w="3426" w:type="dxa"/>
            <w:shd w:val="clear" w:color="auto" w:fill="auto"/>
          </w:tcPr>
          <w:p w14:paraId="676E1E78" w14:textId="31535C69" w:rsidR="000917BD" w:rsidRPr="00661D03" w:rsidRDefault="00CB42C8" w:rsidP="000917BD">
            <w:pPr>
              <w:jc w:val="both"/>
            </w:pPr>
            <w:r w:rsidRPr="00661D03">
              <w:t xml:space="preserve">3 </w:t>
            </w:r>
            <w:r w:rsidR="00661D03" w:rsidRPr="00661D03">
              <w:t>mon</w:t>
            </w:r>
            <w:r w:rsidR="000917BD" w:rsidRPr="00661D03">
              <w:t>ths after Inception Report</w:t>
            </w:r>
          </w:p>
        </w:tc>
      </w:tr>
      <w:tr w:rsidR="0091723B" w:rsidRPr="00EA5690" w14:paraId="313E1421" w14:textId="77777777" w:rsidTr="00661D03">
        <w:trPr>
          <w:jc w:val="center"/>
        </w:trPr>
        <w:tc>
          <w:tcPr>
            <w:tcW w:w="988" w:type="dxa"/>
            <w:shd w:val="clear" w:color="auto" w:fill="auto"/>
          </w:tcPr>
          <w:p w14:paraId="71FDBB1F" w14:textId="0D7DAD67" w:rsidR="0091723B" w:rsidRPr="00661D03" w:rsidRDefault="0091723B" w:rsidP="000917BD">
            <w:pPr>
              <w:widowControl w:val="0"/>
              <w:autoSpaceDE w:val="0"/>
              <w:autoSpaceDN w:val="0"/>
              <w:adjustRightInd w:val="0"/>
              <w:ind w:left="360"/>
              <w:jc w:val="both"/>
            </w:pPr>
            <w:r w:rsidRPr="00661D03">
              <w:t xml:space="preserve"> 3</w:t>
            </w:r>
          </w:p>
        </w:tc>
        <w:tc>
          <w:tcPr>
            <w:tcW w:w="4937" w:type="dxa"/>
            <w:shd w:val="clear" w:color="auto" w:fill="auto"/>
          </w:tcPr>
          <w:p w14:paraId="47062936" w14:textId="77777777" w:rsidR="0091723B" w:rsidRPr="00661D03" w:rsidRDefault="0091723B" w:rsidP="0091723B">
            <w:pPr>
              <w:jc w:val="both"/>
            </w:pPr>
            <w:r w:rsidRPr="00661D03">
              <w:t>Consultation Workshops and presentation of the Draft Report</w:t>
            </w:r>
          </w:p>
          <w:p w14:paraId="2E008375" w14:textId="77777777" w:rsidR="0091723B" w:rsidRPr="00661D03" w:rsidRDefault="0091723B" w:rsidP="00DF6A15">
            <w:pPr>
              <w:jc w:val="both"/>
            </w:pPr>
          </w:p>
        </w:tc>
        <w:tc>
          <w:tcPr>
            <w:tcW w:w="3426" w:type="dxa"/>
            <w:shd w:val="clear" w:color="auto" w:fill="auto"/>
          </w:tcPr>
          <w:p w14:paraId="64BFE842" w14:textId="1DDD18B0" w:rsidR="0091723B" w:rsidRPr="00661D03" w:rsidRDefault="00CB42C8" w:rsidP="000917BD">
            <w:pPr>
              <w:jc w:val="both"/>
            </w:pPr>
            <w:r w:rsidRPr="00661D03">
              <w:t>4</w:t>
            </w:r>
            <w:r w:rsidR="0091723B" w:rsidRPr="00661D03">
              <w:t xml:space="preserve"> Months After the Inception Report </w:t>
            </w:r>
          </w:p>
        </w:tc>
      </w:tr>
      <w:tr w:rsidR="000917BD" w:rsidRPr="00EA5690" w14:paraId="29010D3E" w14:textId="77777777" w:rsidTr="00661D03">
        <w:trPr>
          <w:jc w:val="center"/>
        </w:trPr>
        <w:tc>
          <w:tcPr>
            <w:tcW w:w="988" w:type="dxa"/>
            <w:shd w:val="clear" w:color="auto" w:fill="auto"/>
          </w:tcPr>
          <w:p w14:paraId="6CD7FF80" w14:textId="660D0009" w:rsidR="000917BD" w:rsidRPr="00661D03" w:rsidRDefault="0091723B" w:rsidP="000917BD">
            <w:pPr>
              <w:widowControl w:val="0"/>
              <w:autoSpaceDE w:val="0"/>
              <w:autoSpaceDN w:val="0"/>
              <w:adjustRightInd w:val="0"/>
              <w:ind w:left="360"/>
              <w:jc w:val="both"/>
            </w:pPr>
            <w:r w:rsidRPr="00661D03">
              <w:t>4</w:t>
            </w:r>
          </w:p>
        </w:tc>
        <w:tc>
          <w:tcPr>
            <w:tcW w:w="4937" w:type="dxa"/>
            <w:shd w:val="clear" w:color="auto" w:fill="auto"/>
          </w:tcPr>
          <w:p w14:paraId="6B08123E" w14:textId="6D51584E" w:rsidR="000917BD" w:rsidRPr="00661D03" w:rsidRDefault="000917BD" w:rsidP="000917BD">
            <w:pPr>
              <w:jc w:val="both"/>
            </w:pPr>
            <w:r w:rsidRPr="00661D03">
              <w:t>Final SESA</w:t>
            </w:r>
            <w:r w:rsidR="0091723B" w:rsidRPr="00661D03">
              <w:t xml:space="preserve"> Report </w:t>
            </w:r>
          </w:p>
        </w:tc>
        <w:tc>
          <w:tcPr>
            <w:tcW w:w="3426" w:type="dxa"/>
            <w:shd w:val="clear" w:color="auto" w:fill="auto"/>
          </w:tcPr>
          <w:p w14:paraId="2FB0B448" w14:textId="1BC73595" w:rsidR="000917BD" w:rsidRPr="00661D03" w:rsidRDefault="0091723B" w:rsidP="000917BD">
            <w:pPr>
              <w:jc w:val="both"/>
            </w:pPr>
            <w:r w:rsidRPr="00661D03">
              <w:t xml:space="preserve">5 </w:t>
            </w:r>
            <w:r w:rsidR="000917BD" w:rsidRPr="00661D03">
              <w:t>months after Inception Report</w:t>
            </w:r>
          </w:p>
        </w:tc>
      </w:tr>
    </w:tbl>
    <w:p w14:paraId="5EAEBDE4" w14:textId="3433E2D3" w:rsidR="00F07E36" w:rsidRPr="00663E3E" w:rsidRDefault="00B72584" w:rsidP="00663E3E">
      <w:pPr>
        <w:jc w:val="both"/>
      </w:pPr>
      <w:r w:rsidRPr="00EA5690">
        <w:t xml:space="preserve"> </w:t>
      </w:r>
    </w:p>
    <w:p w14:paraId="1CC66B91" w14:textId="5DCFB03C" w:rsidR="00B72584" w:rsidRPr="00763B8E" w:rsidRDefault="00D615F9" w:rsidP="00763B8E">
      <w:pPr>
        <w:pStyle w:val="Heading2"/>
        <w:rPr>
          <w:rFonts w:ascii="Times New Roman" w:hAnsi="Times New Roman" w:cs="Times New Roman"/>
          <w:b/>
          <w:bCs/>
          <w:sz w:val="28"/>
          <w:szCs w:val="28"/>
        </w:rPr>
      </w:pPr>
      <w:r w:rsidRPr="00763B8E">
        <w:rPr>
          <w:rFonts w:ascii="Times New Roman" w:hAnsi="Times New Roman" w:cs="Times New Roman"/>
          <w:b/>
          <w:bCs/>
          <w:color w:val="auto"/>
          <w:sz w:val="28"/>
          <w:szCs w:val="28"/>
        </w:rPr>
        <w:t>7. Required Qualification and Experience:</w:t>
      </w:r>
    </w:p>
    <w:p w14:paraId="03195D0A" w14:textId="57D6D96A" w:rsidR="00B72584" w:rsidRPr="00EA5690" w:rsidRDefault="00B72584" w:rsidP="00B72584">
      <w:pPr>
        <w:jc w:val="both"/>
      </w:pPr>
      <w:r w:rsidRPr="00EA5690">
        <w:t xml:space="preserve">The Consultancy Firm </w:t>
      </w:r>
      <w:r w:rsidR="006A27B5" w:rsidRPr="00EA5690">
        <w:t>s</w:t>
      </w:r>
      <w:r w:rsidR="006A27B5">
        <w:t>hall</w:t>
      </w:r>
      <w:r w:rsidRPr="00EA5690">
        <w:t xml:space="preserve"> </w:t>
      </w:r>
      <w:r w:rsidR="006A27B5">
        <w:t xml:space="preserve">have </w:t>
      </w:r>
      <w:r w:rsidRPr="00EA5690">
        <w:t>experience</w:t>
      </w:r>
      <w:r w:rsidR="006A27B5">
        <w:t xml:space="preserve"> of at least ten (10) years</w:t>
      </w:r>
      <w:r w:rsidRPr="00EA5690">
        <w:t xml:space="preserve"> in providing technical support on the necessary environmental and social safeguards and the associated capacity development support. The technical team shall comprise the following team members:</w:t>
      </w:r>
    </w:p>
    <w:p w14:paraId="52F86EF3" w14:textId="77777777" w:rsidR="00443628" w:rsidRPr="005B3189" w:rsidRDefault="00443628" w:rsidP="00B72584">
      <w:pPr>
        <w:jc w:val="both"/>
      </w:pPr>
    </w:p>
    <w:p w14:paraId="18109C52" w14:textId="77777777" w:rsidR="00B72584" w:rsidRPr="00EA5690" w:rsidRDefault="00B72584" w:rsidP="00B72584">
      <w:pPr>
        <w:pStyle w:val="Caption"/>
        <w:keepNext/>
        <w:spacing w:after="120"/>
        <w:rPr>
          <w:rFonts w:ascii="Times New Roman" w:hAnsi="Times New Roman"/>
          <w:b/>
          <w:bCs/>
          <w:i w:val="0"/>
          <w:iCs w:val="0"/>
          <w:color w:val="auto"/>
          <w:sz w:val="24"/>
          <w:szCs w:val="24"/>
        </w:rPr>
      </w:pPr>
      <w:r w:rsidRPr="00EA5690">
        <w:rPr>
          <w:rFonts w:ascii="Times New Roman" w:hAnsi="Times New Roman"/>
          <w:b/>
          <w:bCs/>
          <w:i w:val="0"/>
          <w:iCs w:val="0"/>
          <w:color w:val="auto"/>
          <w:sz w:val="24"/>
          <w:szCs w:val="24"/>
        </w:rPr>
        <w:t>Key Expert Qualification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B72584" w:rsidRPr="00EA5690" w14:paraId="5B136AB5" w14:textId="77777777" w:rsidTr="0041743F">
        <w:trPr>
          <w:jc w:val="center"/>
        </w:trPr>
        <w:tc>
          <w:tcPr>
            <w:tcW w:w="1696" w:type="dxa"/>
            <w:shd w:val="clear" w:color="auto" w:fill="auto"/>
          </w:tcPr>
          <w:p w14:paraId="5049B75A" w14:textId="77777777" w:rsidR="00B72584" w:rsidRPr="00EA5690" w:rsidRDefault="00B72584" w:rsidP="0041743F">
            <w:pPr>
              <w:jc w:val="both"/>
              <w:rPr>
                <w:b/>
                <w:lang w:val="en-GB"/>
              </w:rPr>
            </w:pPr>
            <w:r w:rsidRPr="00EA5690">
              <w:rPr>
                <w:b/>
                <w:lang w:val="en-GB"/>
              </w:rPr>
              <w:t>Expert</w:t>
            </w:r>
          </w:p>
        </w:tc>
        <w:tc>
          <w:tcPr>
            <w:tcW w:w="7371" w:type="dxa"/>
            <w:shd w:val="clear" w:color="auto" w:fill="auto"/>
          </w:tcPr>
          <w:p w14:paraId="370BCF10" w14:textId="77777777" w:rsidR="00B72584" w:rsidRPr="00EA5690" w:rsidRDefault="00B72584" w:rsidP="0041743F">
            <w:pPr>
              <w:jc w:val="both"/>
              <w:rPr>
                <w:b/>
                <w:lang w:val="en-GB"/>
              </w:rPr>
            </w:pPr>
            <w:r w:rsidRPr="00EA5690">
              <w:rPr>
                <w:b/>
                <w:lang w:val="en-GB"/>
              </w:rPr>
              <w:t>Qualification</w:t>
            </w:r>
          </w:p>
        </w:tc>
      </w:tr>
      <w:tr w:rsidR="00B72584" w:rsidRPr="00EA5690" w14:paraId="13CA714D" w14:textId="77777777" w:rsidTr="0041743F">
        <w:trPr>
          <w:jc w:val="center"/>
        </w:trPr>
        <w:tc>
          <w:tcPr>
            <w:tcW w:w="1696" w:type="dxa"/>
            <w:shd w:val="clear" w:color="auto" w:fill="auto"/>
          </w:tcPr>
          <w:p w14:paraId="12F1900D" w14:textId="77777777" w:rsidR="00B72584" w:rsidRPr="00EA5690" w:rsidRDefault="00B72584" w:rsidP="0041743F">
            <w:pPr>
              <w:jc w:val="both"/>
              <w:rPr>
                <w:bCs/>
              </w:rPr>
            </w:pPr>
            <w:r w:rsidRPr="00EA5690">
              <w:rPr>
                <w:bCs/>
              </w:rPr>
              <w:t>Environmental Expert / Team Leader</w:t>
            </w:r>
          </w:p>
        </w:tc>
        <w:tc>
          <w:tcPr>
            <w:tcW w:w="7371" w:type="dxa"/>
            <w:shd w:val="clear" w:color="auto" w:fill="auto"/>
          </w:tcPr>
          <w:p w14:paraId="58300495" w14:textId="77777777" w:rsidR="00B72584" w:rsidRPr="00EA5690" w:rsidRDefault="00B72584" w:rsidP="0041743F">
            <w:pPr>
              <w:jc w:val="both"/>
              <w:rPr>
                <w:bCs/>
              </w:rPr>
            </w:pPr>
            <w:r w:rsidRPr="00EA5690">
              <w:rPr>
                <w:bCs/>
              </w:rPr>
              <w:t xml:space="preserve">The Environmental Expert will be the Team Leader. S/he must have a minimum of masters’ degree in natural resources management, environmental studies, environmental management, environmental policy, environmental engineering, or a related discipline, with a proven record of accomplishment of managing similar projects. </w:t>
            </w:r>
          </w:p>
          <w:p w14:paraId="452CBB5E" w14:textId="77777777" w:rsidR="00B72584" w:rsidRPr="00EA5690" w:rsidRDefault="00B72584" w:rsidP="0041743F">
            <w:pPr>
              <w:jc w:val="both"/>
              <w:rPr>
                <w:bCs/>
              </w:rPr>
            </w:pPr>
            <w:r w:rsidRPr="00EA5690">
              <w:rPr>
                <w:bCs/>
              </w:rPr>
              <w:t xml:space="preserve">Specifically, the team leader must have:  </w:t>
            </w:r>
          </w:p>
          <w:p w14:paraId="601CECEC" w14:textId="626F7DFC"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 xml:space="preserve">A minimum of </w:t>
            </w:r>
            <w:r w:rsidR="00661D03">
              <w:rPr>
                <w:rFonts w:ascii="Times New Roman" w:hAnsi="Times New Roman" w:cs="Times New Roman"/>
                <w:bCs/>
              </w:rPr>
              <w:t xml:space="preserve">ten (10) </w:t>
            </w:r>
            <w:r w:rsidRPr="00EA5690">
              <w:rPr>
                <w:rFonts w:ascii="Times New Roman" w:hAnsi="Times New Roman" w:cs="Times New Roman"/>
                <w:bCs/>
              </w:rPr>
              <w:t xml:space="preserve">years of post-qualification professional </w:t>
            </w:r>
            <w:r w:rsidRPr="00EA5690">
              <w:rPr>
                <w:rFonts w:ascii="Times New Roman" w:hAnsi="Times New Roman" w:cs="Times New Roman"/>
                <w:bCs/>
              </w:rPr>
              <w:lastRenderedPageBreak/>
              <w:t xml:space="preserve">experience in thematic areas related to environmental and social management issues with grounding in environmental assessments and monitoring in Energy and Infrastructure.  </w:t>
            </w:r>
          </w:p>
          <w:p w14:paraId="50BA0987"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 xml:space="preserve">A proven knowledge in sustainable development financing, environmental, and social risk and impact management.  </w:t>
            </w:r>
          </w:p>
          <w:p w14:paraId="0C0C5A2F"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A minimum of 5 years of experience in assisting institutions in assessing and implementing best practices related to sustainable development, strategic planning, and environmental management.</w:t>
            </w:r>
          </w:p>
          <w:p w14:paraId="50EC8441"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Experience in working with the World Bank, including leading and supporting environmental and social due diligence, as well as other assignments and preparation and supervision of similar projects, compliance assessment and monitoring and evaluation; experience with other IFIs is desirable.</w:t>
            </w:r>
          </w:p>
          <w:p w14:paraId="1C9AA0E2"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Knowledge of the World Bank’s Environmental and Social Framework (ESF), Safeguards Policies; procedures, supervision and preparation of environmental and social management tools and training experience on environmental Safeguards.</w:t>
            </w:r>
          </w:p>
          <w:p w14:paraId="731ACDD3"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 xml:space="preserve">Excellent knowledge, skills, and experience in designing frameworks and systems associated with Sectoral Environmental and Social Impact Assessments (SESIAs), Environmental and Social Management Plans (ESMP), Environmental Management Frameworks, the social and EHS aspects of development projects, monitoring, evaluation and compliance assessment.  </w:t>
            </w:r>
          </w:p>
          <w:p w14:paraId="6656FBAE"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 xml:space="preserve">Excellent knowledge, skills and experience in multi-criteria assessments, stakeholder engagement and consultation, community participation; analytical skills to assess institutional capacity and to design/ review practical arrangements for implementing complex projects, and projects of fragile and conflict contexts, particularly in Africa. </w:t>
            </w:r>
          </w:p>
          <w:p w14:paraId="32022EEF"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 xml:space="preserve">Proficiency in the usage of computers and office software packages (word processing, spreadsheet etc.)  </w:t>
            </w:r>
          </w:p>
          <w:p w14:paraId="18CF4FCF"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Previous work experience in the African region required, and specific knowledge of Somalia government and other institutional actors preferred.</w:t>
            </w:r>
          </w:p>
          <w:p w14:paraId="64356887"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 xml:space="preserve">Possess excellent technical and analytical skills, and </w:t>
            </w:r>
          </w:p>
          <w:p w14:paraId="6FF7E2F3" w14:textId="77777777" w:rsidR="00B72584" w:rsidRPr="00EA5690" w:rsidRDefault="00B72584" w:rsidP="00B72584">
            <w:pPr>
              <w:pStyle w:val="ListParagraph"/>
              <w:widowControl w:val="0"/>
              <w:numPr>
                <w:ilvl w:val="0"/>
                <w:numId w:val="13"/>
              </w:numPr>
              <w:autoSpaceDE w:val="0"/>
              <w:autoSpaceDN w:val="0"/>
              <w:adjustRightInd w:val="0"/>
              <w:ind w:left="360"/>
              <w:jc w:val="both"/>
              <w:rPr>
                <w:rFonts w:ascii="Times New Roman" w:hAnsi="Times New Roman" w:cs="Times New Roman"/>
                <w:bCs/>
              </w:rPr>
            </w:pPr>
            <w:r w:rsidRPr="00EA5690">
              <w:rPr>
                <w:rFonts w:ascii="Times New Roman" w:hAnsi="Times New Roman" w:cs="Times New Roman"/>
                <w:bCs/>
              </w:rPr>
              <w:t>Excellent writing and communications skills in English mandatory</w:t>
            </w:r>
          </w:p>
        </w:tc>
      </w:tr>
      <w:tr w:rsidR="00B72584" w:rsidRPr="00EA5690" w14:paraId="501ADE32" w14:textId="77777777" w:rsidTr="0041743F">
        <w:trPr>
          <w:jc w:val="center"/>
        </w:trPr>
        <w:tc>
          <w:tcPr>
            <w:tcW w:w="1696" w:type="dxa"/>
            <w:shd w:val="clear" w:color="auto" w:fill="auto"/>
          </w:tcPr>
          <w:p w14:paraId="58695589" w14:textId="77777777" w:rsidR="00B72584" w:rsidRPr="00EA5690" w:rsidRDefault="00B72584" w:rsidP="0041743F">
            <w:pPr>
              <w:jc w:val="both"/>
              <w:rPr>
                <w:bCs/>
              </w:rPr>
            </w:pPr>
            <w:r w:rsidRPr="00EA5690">
              <w:rPr>
                <w:bCs/>
              </w:rPr>
              <w:lastRenderedPageBreak/>
              <w:t>Environmental Safeguards Specialist:</w:t>
            </w:r>
          </w:p>
        </w:tc>
        <w:tc>
          <w:tcPr>
            <w:tcW w:w="7371" w:type="dxa"/>
            <w:shd w:val="clear" w:color="auto" w:fill="auto"/>
          </w:tcPr>
          <w:p w14:paraId="5C035C4F" w14:textId="77777777" w:rsidR="00B72584" w:rsidRPr="00EA5690" w:rsidRDefault="00B72584" w:rsidP="0041743F">
            <w:pPr>
              <w:jc w:val="both"/>
              <w:rPr>
                <w:bCs/>
              </w:rPr>
            </w:pPr>
            <w:r w:rsidRPr="00EA5690">
              <w:rPr>
                <w:bCs/>
              </w:rPr>
              <w:t xml:space="preserve"> He/She must possess a master’s degree in environmental sciences or Natural Sciences with at least Ten (10) years’ professional experience carrying out Environmental and Social (Impact) Assessments, implementation and monitoring of environmental and social management plans, designing and implementing Environmental and Social Management Systems (ESMSs). </w:t>
            </w:r>
          </w:p>
          <w:p w14:paraId="07F91FFD" w14:textId="77777777" w:rsidR="00B72584" w:rsidRPr="00EA5690" w:rsidRDefault="00B72584" w:rsidP="0041743F">
            <w:pPr>
              <w:jc w:val="both"/>
              <w:rPr>
                <w:bCs/>
              </w:rPr>
            </w:pPr>
            <w:r w:rsidRPr="00EA5690">
              <w:rPr>
                <w:bCs/>
              </w:rPr>
              <w:t xml:space="preserve"> must have been involved in three (3) assignments of similar nature in the past. </w:t>
            </w:r>
          </w:p>
          <w:p w14:paraId="7B4CE5DA" w14:textId="77777777" w:rsidR="00B72584" w:rsidRPr="00EA5690" w:rsidRDefault="00B72584" w:rsidP="0041743F">
            <w:pPr>
              <w:jc w:val="both"/>
              <w:rPr>
                <w:bCs/>
              </w:rPr>
            </w:pPr>
            <w:r w:rsidRPr="00EA5690">
              <w:rPr>
                <w:bCs/>
              </w:rPr>
              <w:lastRenderedPageBreak/>
              <w:t>He/she will be familiar with Safeguards Policies Registration with relevant professional bodies will be a requirement as well as proof of professional good standing.</w:t>
            </w:r>
          </w:p>
        </w:tc>
      </w:tr>
      <w:tr w:rsidR="00B72584" w:rsidRPr="00EA5690" w14:paraId="1063285A" w14:textId="77777777" w:rsidTr="0041743F">
        <w:trPr>
          <w:jc w:val="center"/>
        </w:trPr>
        <w:tc>
          <w:tcPr>
            <w:tcW w:w="1696" w:type="dxa"/>
            <w:shd w:val="clear" w:color="auto" w:fill="auto"/>
          </w:tcPr>
          <w:p w14:paraId="31CB03B3" w14:textId="77777777" w:rsidR="00B72584" w:rsidRPr="00EA5690" w:rsidRDefault="00B72584" w:rsidP="0041743F">
            <w:pPr>
              <w:jc w:val="both"/>
              <w:rPr>
                <w:bCs/>
              </w:rPr>
            </w:pPr>
            <w:r w:rsidRPr="00EA5690">
              <w:rPr>
                <w:bCs/>
              </w:rPr>
              <w:lastRenderedPageBreak/>
              <w:t>Social Safeguards Specialist:</w:t>
            </w:r>
          </w:p>
        </w:tc>
        <w:tc>
          <w:tcPr>
            <w:tcW w:w="7371" w:type="dxa"/>
            <w:shd w:val="clear" w:color="auto" w:fill="auto"/>
          </w:tcPr>
          <w:p w14:paraId="5459B435" w14:textId="5EF76F19" w:rsidR="00B72584" w:rsidRPr="00EA5690" w:rsidRDefault="00B72584" w:rsidP="0041743F">
            <w:pPr>
              <w:jc w:val="both"/>
              <w:rPr>
                <w:bCs/>
              </w:rPr>
            </w:pPr>
            <w:r w:rsidRPr="00EA5690">
              <w:rPr>
                <w:bCs/>
              </w:rPr>
              <w:t xml:space="preserve">He/She must possess a master’s degree in social sciences, Social Development from a recognized University with at least </w:t>
            </w:r>
            <w:r w:rsidR="00661D03">
              <w:rPr>
                <w:bCs/>
              </w:rPr>
              <w:t>eight</w:t>
            </w:r>
            <w:r w:rsidRPr="00EA5690">
              <w:rPr>
                <w:bCs/>
              </w:rPr>
              <w:t xml:space="preserve"> (</w:t>
            </w:r>
            <w:r w:rsidR="00661D03">
              <w:rPr>
                <w:bCs/>
              </w:rPr>
              <w:t>8</w:t>
            </w:r>
            <w:r w:rsidRPr="00EA5690">
              <w:rPr>
                <w:bCs/>
              </w:rPr>
              <w:t>) years professional experience in Social (Impact) Assessment, Land Acquisition and Involuntary Resettlement, Stakeholder Engagement and Grievance Redress Mechanism. The specialist should have both international and practical experience with implementation of Safeguards Policies</w:t>
            </w:r>
          </w:p>
        </w:tc>
      </w:tr>
      <w:tr w:rsidR="00B72584" w:rsidRPr="00EA5690" w14:paraId="6CDBB4D1" w14:textId="77777777" w:rsidTr="0041743F">
        <w:trPr>
          <w:jc w:val="center"/>
        </w:trPr>
        <w:tc>
          <w:tcPr>
            <w:tcW w:w="1696" w:type="dxa"/>
            <w:shd w:val="clear" w:color="auto" w:fill="auto"/>
          </w:tcPr>
          <w:p w14:paraId="470FC908" w14:textId="77777777" w:rsidR="00B72584" w:rsidRPr="00EA5690" w:rsidRDefault="00B72584" w:rsidP="0041743F">
            <w:pPr>
              <w:jc w:val="both"/>
              <w:rPr>
                <w:bCs/>
              </w:rPr>
            </w:pPr>
            <w:r w:rsidRPr="00EA5690">
              <w:rPr>
                <w:bCs/>
              </w:rPr>
              <w:t>Occupational Health and Safety Expert:</w:t>
            </w:r>
          </w:p>
        </w:tc>
        <w:tc>
          <w:tcPr>
            <w:tcW w:w="7371" w:type="dxa"/>
            <w:shd w:val="clear" w:color="auto" w:fill="auto"/>
          </w:tcPr>
          <w:p w14:paraId="43A0048F" w14:textId="2B5A29B8" w:rsidR="00B72584" w:rsidRPr="00EA5690" w:rsidRDefault="00B72584" w:rsidP="0041743F">
            <w:pPr>
              <w:jc w:val="both"/>
              <w:rPr>
                <w:bCs/>
              </w:rPr>
            </w:pPr>
            <w:r w:rsidRPr="00EA5690">
              <w:rPr>
                <w:bCs/>
              </w:rPr>
              <w:t xml:space="preserve">He/She must possess a master’s degree in health sciences, Health Engineering, Public Health, Environment or Health and Safety from a recognized University with at least </w:t>
            </w:r>
            <w:r w:rsidR="00661D03">
              <w:rPr>
                <w:bCs/>
              </w:rPr>
              <w:t>six (6</w:t>
            </w:r>
            <w:r w:rsidRPr="00EA5690">
              <w:rPr>
                <w:bCs/>
              </w:rPr>
              <w:t>) years professional experience in designing and implementing Health, Safety and Environment (HSE) management systems, carrying out HSE risk assessment/audits. The specialist should have both international experiences working in large infrastructure projects, and has working knowledge with environmental, health and safety guidelines/procedures from MFIs and international development agencies. The expert must be a registered HSE expert with a reputable local or International Professional Association.</w:t>
            </w:r>
          </w:p>
        </w:tc>
      </w:tr>
      <w:tr w:rsidR="00B72584" w:rsidRPr="00EA5690" w14:paraId="2DF5738F" w14:textId="77777777" w:rsidTr="0041743F">
        <w:trPr>
          <w:jc w:val="center"/>
        </w:trPr>
        <w:tc>
          <w:tcPr>
            <w:tcW w:w="1696" w:type="dxa"/>
            <w:shd w:val="clear" w:color="auto" w:fill="auto"/>
          </w:tcPr>
          <w:p w14:paraId="43B4B215" w14:textId="77777777" w:rsidR="00B72584" w:rsidRPr="00EA5690" w:rsidRDefault="00B72584" w:rsidP="0041743F">
            <w:pPr>
              <w:jc w:val="both"/>
              <w:rPr>
                <w:bCs/>
              </w:rPr>
            </w:pPr>
            <w:r w:rsidRPr="00EA5690">
              <w:rPr>
                <w:bCs/>
              </w:rPr>
              <w:t>Resettlement Specialist</w:t>
            </w:r>
          </w:p>
        </w:tc>
        <w:tc>
          <w:tcPr>
            <w:tcW w:w="7371" w:type="dxa"/>
            <w:shd w:val="clear" w:color="auto" w:fill="auto"/>
          </w:tcPr>
          <w:p w14:paraId="0620A8B9" w14:textId="41DF72F9" w:rsidR="00B72584" w:rsidRPr="00EA5690" w:rsidRDefault="00B72584" w:rsidP="0041743F">
            <w:pPr>
              <w:jc w:val="both"/>
              <w:rPr>
                <w:bCs/>
              </w:rPr>
            </w:pPr>
            <w:r w:rsidRPr="00EA5690">
              <w:rPr>
                <w:bCs/>
              </w:rPr>
              <w:t xml:space="preserve">He/ She must have a minimum of a degree in social sciences/Development studies/B. A land economics or related studies from a recognized institution. At least 7 years relevant, </w:t>
            </w:r>
            <w:r w:rsidR="00107B9F" w:rsidRPr="00EA5690">
              <w:rPr>
                <w:bCs/>
              </w:rPr>
              <w:t>proven,</w:t>
            </w:r>
            <w:r w:rsidRPr="00EA5690">
              <w:rPr>
                <w:bCs/>
              </w:rPr>
              <w:t xml:space="preserve"> and hands-on experience in Resettlement Action Plan preparation and implementation, Grievance redress management, stakeholder engagement among others, served in a similar capacity and with relevant experience in preparation and implementation of Resettlement Action Plan in at least three (3) infrastructure projects. The specialist must have experience in management of RAP issues in development projects and demonstrate understanding of GIIBP</w:t>
            </w:r>
          </w:p>
        </w:tc>
      </w:tr>
      <w:tr w:rsidR="00B72584" w:rsidRPr="00EA5690" w14:paraId="2DE587FA" w14:textId="77777777" w:rsidTr="0041743F">
        <w:trPr>
          <w:jc w:val="center"/>
        </w:trPr>
        <w:tc>
          <w:tcPr>
            <w:tcW w:w="1696" w:type="dxa"/>
            <w:shd w:val="clear" w:color="auto" w:fill="auto"/>
          </w:tcPr>
          <w:p w14:paraId="3C5F1130" w14:textId="77777777" w:rsidR="00B72584" w:rsidRPr="00EA5690" w:rsidRDefault="00B72584" w:rsidP="0041743F">
            <w:pPr>
              <w:jc w:val="both"/>
              <w:rPr>
                <w:bCs/>
              </w:rPr>
            </w:pPr>
            <w:r w:rsidRPr="00EA5690">
              <w:rPr>
                <w:bCs/>
              </w:rPr>
              <w:t>GBV and Gender Expert</w:t>
            </w:r>
          </w:p>
        </w:tc>
        <w:tc>
          <w:tcPr>
            <w:tcW w:w="7371" w:type="dxa"/>
            <w:shd w:val="clear" w:color="auto" w:fill="auto"/>
          </w:tcPr>
          <w:p w14:paraId="262328EB" w14:textId="77777777" w:rsidR="00B72584" w:rsidRPr="00EA5690" w:rsidRDefault="00B72584" w:rsidP="0041743F">
            <w:pPr>
              <w:jc w:val="both"/>
              <w:rPr>
                <w:bCs/>
              </w:rPr>
            </w:pPr>
            <w:r w:rsidRPr="00EA5690">
              <w:rPr>
                <w:bCs/>
              </w:rPr>
              <w:t>The gender and GBV protection expert shall have a minimum of a relevant bachelor’s degree in social sciences (Gender studies, Sociology, Social work and Anthropology) with at least ten (10) years practical post qualification experience.   He/She must have extensive experience in gender mainstreaming, GBV cases management, instituting GBV referral pathways, executing investigations, provision of psychosocial support to GBV survivors and case management.  Previous experience on similar capacity will be an added advantage.</w:t>
            </w:r>
          </w:p>
        </w:tc>
      </w:tr>
    </w:tbl>
    <w:p w14:paraId="599E5C08" w14:textId="77777777" w:rsidR="00B72584" w:rsidRPr="005B3189" w:rsidRDefault="00B72584" w:rsidP="00B72584">
      <w:pPr>
        <w:jc w:val="both"/>
      </w:pPr>
    </w:p>
    <w:p w14:paraId="1E82A045" w14:textId="77777777" w:rsidR="00E339F6" w:rsidRPr="00DF6A15" w:rsidRDefault="00E339F6" w:rsidP="00E339F6"/>
    <w:p w14:paraId="040FD6BF" w14:textId="4F8D4556" w:rsidR="0019043E" w:rsidRPr="00663E3E" w:rsidRDefault="0019043E" w:rsidP="00663E3E">
      <w:pPr>
        <w:numPr>
          <w:ilvl w:val="0"/>
          <w:numId w:val="36"/>
        </w:numPr>
        <w:suppressAutoHyphens/>
        <w:spacing w:after="120" w:line="276" w:lineRule="auto"/>
        <w:ind w:left="360"/>
        <w:jc w:val="both"/>
        <w:rPr>
          <w:rFonts w:eastAsiaTheme="majorEastAsia"/>
          <w:b/>
          <w:bCs/>
          <w:sz w:val="28"/>
          <w:szCs w:val="28"/>
        </w:rPr>
      </w:pPr>
      <w:r w:rsidRPr="00663E3E">
        <w:rPr>
          <w:rFonts w:eastAsiaTheme="majorEastAsia"/>
          <w:b/>
          <w:bCs/>
          <w:sz w:val="28"/>
          <w:szCs w:val="28"/>
        </w:rPr>
        <w:t>Assignment Duration:</w:t>
      </w:r>
    </w:p>
    <w:p w14:paraId="6EAE08FE" w14:textId="77068B13" w:rsidR="0019043E" w:rsidRDefault="0019043E" w:rsidP="0019043E">
      <w:pPr>
        <w:widowControl w:val="0"/>
        <w:autoSpaceDE w:val="0"/>
        <w:autoSpaceDN w:val="0"/>
        <w:adjustRightInd w:val="0"/>
        <w:spacing w:line="276" w:lineRule="auto"/>
        <w:contextualSpacing/>
        <w:jc w:val="both"/>
        <w:rPr>
          <w:color w:val="000000"/>
        </w:rPr>
      </w:pPr>
      <w:r w:rsidRPr="00EA5690">
        <w:rPr>
          <w:color w:val="000000"/>
        </w:rPr>
        <w:t xml:space="preserve">The Services under this assignment are expected to be conducted for a period of </w:t>
      </w:r>
      <w:r w:rsidR="005F6B3C">
        <w:rPr>
          <w:color w:val="000000"/>
        </w:rPr>
        <w:t>five</w:t>
      </w:r>
      <w:r w:rsidRPr="00EA5690">
        <w:rPr>
          <w:color w:val="000000"/>
        </w:rPr>
        <w:t xml:space="preserve"> (</w:t>
      </w:r>
      <w:r w:rsidR="005F6B3C">
        <w:rPr>
          <w:color w:val="000000"/>
        </w:rPr>
        <w:t>5</w:t>
      </w:r>
      <w:r w:rsidRPr="00EA5690">
        <w:rPr>
          <w:color w:val="000000"/>
        </w:rPr>
        <w:t xml:space="preserve">) calendar months. The consultant should demonstrate as part of the inception report how this timeline will be achieved, and any risks associated with doing so including in relation to security issues as relevant. </w:t>
      </w:r>
    </w:p>
    <w:p w14:paraId="13F94EDE" w14:textId="77777777" w:rsidR="002417BD" w:rsidRPr="00EA5690" w:rsidRDefault="002417BD" w:rsidP="0019043E">
      <w:pPr>
        <w:widowControl w:val="0"/>
        <w:autoSpaceDE w:val="0"/>
        <w:autoSpaceDN w:val="0"/>
        <w:adjustRightInd w:val="0"/>
        <w:spacing w:line="276" w:lineRule="auto"/>
        <w:contextualSpacing/>
        <w:jc w:val="both"/>
        <w:rPr>
          <w:color w:val="000000"/>
        </w:rPr>
      </w:pPr>
    </w:p>
    <w:p w14:paraId="259BED8A" w14:textId="77777777" w:rsidR="0019043E" w:rsidRPr="00663E3E" w:rsidRDefault="0019043E" w:rsidP="00663E3E">
      <w:pPr>
        <w:numPr>
          <w:ilvl w:val="0"/>
          <w:numId w:val="36"/>
        </w:numPr>
        <w:suppressAutoHyphens/>
        <w:spacing w:after="120" w:line="276" w:lineRule="auto"/>
        <w:ind w:left="360"/>
        <w:jc w:val="both"/>
        <w:rPr>
          <w:rFonts w:eastAsiaTheme="majorEastAsia"/>
          <w:b/>
          <w:bCs/>
          <w:sz w:val="28"/>
          <w:szCs w:val="28"/>
        </w:rPr>
      </w:pPr>
      <w:r w:rsidRPr="00663E3E">
        <w:rPr>
          <w:rFonts w:eastAsiaTheme="majorEastAsia"/>
          <w:b/>
          <w:bCs/>
          <w:sz w:val="28"/>
          <w:szCs w:val="28"/>
        </w:rPr>
        <w:lastRenderedPageBreak/>
        <w:t>Governance and Contracting Arrangements:</w:t>
      </w:r>
    </w:p>
    <w:p w14:paraId="7DA71244" w14:textId="2E0D609C" w:rsidR="0019043E" w:rsidRDefault="0019043E" w:rsidP="0019043E">
      <w:pPr>
        <w:spacing w:line="276" w:lineRule="auto"/>
        <w:jc w:val="both"/>
        <w:rPr>
          <w:bCs/>
        </w:rPr>
      </w:pPr>
      <w:r w:rsidRPr="00EA5690">
        <w:rPr>
          <w:bCs/>
        </w:rPr>
        <w:t>The consultant will be selected and contracted by the FGS. The implementation of this work will be under the direct oversight of the Ministry of Energy &amp; Water Resource (MoEWR). Upon receipt of the deliverables and related reports, they will be reviewed and approved by the MoEWR.</w:t>
      </w:r>
    </w:p>
    <w:p w14:paraId="7BDF17F4" w14:textId="77777777" w:rsidR="00663E3E" w:rsidRPr="00EA5690" w:rsidRDefault="00663E3E" w:rsidP="0019043E">
      <w:pPr>
        <w:spacing w:line="276" w:lineRule="auto"/>
        <w:jc w:val="both"/>
        <w:rPr>
          <w:bCs/>
        </w:rPr>
      </w:pPr>
    </w:p>
    <w:p w14:paraId="0D74BCA2" w14:textId="77777777" w:rsidR="0019043E" w:rsidRPr="00663E3E" w:rsidRDefault="0019043E" w:rsidP="00663E3E">
      <w:pPr>
        <w:numPr>
          <w:ilvl w:val="0"/>
          <w:numId w:val="36"/>
        </w:numPr>
        <w:suppressAutoHyphens/>
        <w:spacing w:after="120" w:line="276" w:lineRule="auto"/>
        <w:ind w:left="360"/>
        <w:jc w:val="both"/>
        <w:rPr>
          <w:rFonts w:eastAsiaTheme="majorEastAsia"/>
          <w:b/>
          <w:bCs/>
          <w:sz w:val="28"/>
          <w:szCs w:val="28"/>
        </w:rPr>
      </w:pPr>
      <w:r w:rsidRPr="00663E3E">
        <w:rPr>
          <w:rFonts w:eastAsiaTheme="majorEastAsia"/>
          <w:b/>
          <w:bCs/>
          <w:sz w:val="28"/>
          <w:szCs w:val="28"/>
        </w:rPr>
        <w:t xml:space="preserve">Services, Facilities and Materials to be provided by the Client: </w:t>
      </w:r>
    </w:p>
    <w:p w14:paraId="527544FA" w14:textId="77777777" w:rsidR="0019043E" w:rsidRPr="00EA5690" w:rsidRDefault="0019043E" w:rsidP="0019043E">
      <w:pPr>
        <w:widowControl w:val="0"/>
        <w:autoSpaceDE w:val="0"/>
        <w:autoSpaceDN w:val="0"/>
        <w:adjustRightInd w:val="0"/>
        <w:spacing w:after="120"/>
        <w:contextualSpacing/>
        <w:rPr>
          <w:color w:val="000000"/>
        </w:rPr>
      </w:pPr>
      <w:r w:rsidRPr="00EA5690">
        <w:rPr>
          <w:color w:val="000000"/>
        </w:rPr>
        <w:t xml:space="preserve">The client shall provide the following facilities to the consultant: </w:t>
      </w:r>
    </w:p>
    <w:p w14:paraId="77E41883" w14:textId="77777777" w:rsidR="0019043E" w:rsidRPr="00EA5690" w:rsidRDefault="0019043E" w:rsidP="0019043E">
      <w:pPr>
        <w:numPr>
          <w:ilvl w:val="0"/>
          <w:numId w:val="15"/>
        </w:numPr>
        <w:suppressAutoHyphens/>
        <w:jc w:val="both"/>
        <w:rPr>
          <w:color w:val="000000"/>
        </w:rPr>
      </w:pPr>
      <w:r w:rsidRPr="00EA5690">
        <w:rPr>
          <w:color w:val="000000"/>
        </w:rPr>
        <w:t xml:space="preserve">Access to all available relevant environmental and social information, such as reports and studies, policies, acts, </w:t>
      </w:r>
    </w:p>
    <w:p w14:paraId="048D56CD" w14:textId="77777777" w:rsidR="0019043E" w:rsidRPr="00EA5690" w:rsidRDefault="0019043E" w:rsidP="0019043E">
      <w:pPr>
        <w:numPr>
          <w:ilvl w:val="0"/>
          <w:numId w:val="15"/>
        </w:numPr>
        <w:suppressAutoHyphens/>
        <w:jc w:val="both"/>
        <w:rPr>
          <w:color w:val="000000"/>
        </w:rPr>
      </w:pPr>
      <w:r w:rsidRPr="00EA5690">
        <w:rPr>
          <w:color w:val="000000"/>
        </w:rPr>
        <w:t xml:space="preserve">Counterpart staff and as part of training and knowledge transfer. </w:t>
      </w:r>
    </w:p>
    <w:p w14:paraId="3D4797AB" w14:textId="77777777" w:rsidR="0019043E" w:rsidRPr="00EA5690" w:rsidRDefault="0019043E" w:rsidP="0019043E">
      <w:pPr>
        <w:numPr>
          <w:ilvl w:val="0"/>
          <w:numId w:val="15"/>
        </w:numPr>
        <w:suppressAutoHyphens/>
        <w:jc w:val="both"/>
        <w:rPr>
          <w:color w:val="000000"/>
        </w:rPr>
      </w:pPr>
      <w:r w:rsidRPr="00EA5690">
        <w:rPr>
          <w:color w:val="000000"/>
        </w:rPr>
        <w:t xml:space="preserve">All available and relevant background documentation and studies (e.g., regional, sectoral, cumulative). </w:t>
      </w:r>
    </w:p>
    <w:p w14:paraId="7E924080" w14:textId="77777777" w:rsidR="0019043E" w:rsidRPr="00EA5690" w:rsidRDefault="0019043E" w:rsidP="0019043E">
      <w:pPr>
        <w:numPr>
          <w:ilvl w:val="0"/>
          <w:numId w:val="15"/>
        </w:numPr>
        <w:suppressAutoHyphens/>
        <w:jc w:val="both"/>
        <w:rPr>
          <w:color w:val="000000"/>
        </w:rPr>
      </w:pPr>
      <w:r w:rsidRPr="00EA5690">
        <w:rPr>
          <w:color w:val="000000"/>
        </w:rPr>
        <w:t xml:space="preserve">Provided the details of proposed transmission line route and associated substations. </w:t>
      </w:r>
    </w:p>
    <w:p w14:paraId="4BC17658" w14:textId="77777777" w:rsidR="0019043E" w:rsidRPr="00EA5690" w:rsidRDefault="0019043E" w:rsidP="0019043E">
      <w:pPr>
        <w:numPr>
          <w:ilvl w:val="0"/>
          <w:numId w:val="15"/>
        </w:numPr>
        <w:suppressAutoHyphens/>
        <w:jc w:val="both"/>
        <w:rPr>
          <w:color w:val="000000"/>
        </w:rPr>
      </w:pPr>
      <w:r w:rsidRPr="00EA5690">
        <w:rPr>
          <w:color w:val="000000"/>
        </w:rPr>
        <w:t>Unrestricted access to project areas and sites.</w:t>
      </w:r>
    </w:p>
    <w:p w14:paraId="57E5F3F2" w14:textId="77777777" w:rsidR="0019043E" w:rsidRPr="00EA5690" w:rsidRDefault="0019043E" w:rsidP="0019043E">
      <w:pPr>
        <w:numPr>
          <w:ilvl w:val="0"/>
          <w:numId w:val="15"/>
        </w:numPr>
        <w:suppressAutoHyphens/>
        <w:jc w:val="both"/>
        <w:rPr>
          <w:color w:val="000000"/>
        </w:rPr>
      </w:pPr>
      <w:r w:rsidRPr="00EA5690">
        <w:rPr>
          <w:color w:val="000000"/>
        </w:rPr>
        <w:t>Security details for all travel related to the assignment.</w:t>
      </w:r>
    </w:p>
    <w:p w14:paraId="2BCC6CEC" w14:textId="77777777" w:rsidR="0019043E" w:rsidRPr="00EA5690" w:rsidRDefault="0019043E" w:rsidP="0019043E">
      <w:pPr>
        <w:numPr>
          <w:ilvl w:val="0"/>
          <w:numId w:val="15"/>
        </w:numPr>
        <w:suppressAutoHyphens/>
        <w:jc w:val="both"/>
        <w:rPr>
          <w:color w:val="000000"/>
        </w:rPr>
      </w:pPr>
      <w:r w:rsidRPr="00EA5690">
        <w:rPr>
          <w:color w:val="000000"/>
        </w:rPr>
        <w:t>Making all necessary arrangements for supporting the work of the Consultant(s), by e.g., facilitating access to government authorities and other project stakeholders.</w:t>
      </w:r>
    </w:p>
    <w:p w14:paraId="5C7B63B0" w14:textId="77777777" w:rsidR="0019043E" w:rsidRPr="00EA5690" w:rsidRDefault="0019043E" w:rsidP="0019043E">
      <w:pPr>
        <w:numPr>
          <w:ilvl w:val="0"/>
          <w:numId w:val="15"/>
        </w:numPr>
        <w:suppressAutoHyphens/>
        <w:jc w:val="both"/>
        <w:rPr>
          <w:color w:val="000000"/>
        </w:rPr>
      </w:pPr>
      <w:r w:rsidRPr="00EA5690">
        <w:rPr>
          <w:color w:val="000000"/>
        </w:rPr>
        <w:t>Disclosure of draft documents, sending out of invitations, organization of venues for public hearings, and being present as discussant at all public hearings.</w:t>
      </w:r>
    </w:p>
    <w:p w14:paraId="04AC3B7F" w14:textId="77777777" w:rsidR="0019043E" w:rsidRPr="00EA5690" w:rsidRDefault="0019043E" w:rsidP="0019043E">
      <w:pPr>
        <w:spacing w:before="180" w:after="180"/>
        <w:contextualSpacing/>
        <w:jc w:val="both"/>
        <w:rPr>
          <w:b/>
          <w:color w:val="000000"/>
        </w:rPr>
      </w:pPr>
    </w:p>
    <w:p w14:paraId="5E732178" w14:textId="61B7E440" w:rsidR="0019043E" w:rsidRPr="00663E3E" w:rsidRDefault="006A425E" w:rsidP="00663E3E">
      <w:pPr>
        <w:numPr>
          <w:ilvl w:val="0"/>
          <w:numId w:val="36"/>
        </w:numPr>
        <w:suppressAutoHyphens/>
        <w:ind w:left="360"/>
        <w:contextualSpacing/>
        <w:jc w:val="both"/>
        <w:rPr>
          <w:rFonts w:eastAsiaTheme="majorEastAsia"/>
          <w:b/>
          <w:bCs/>
          <w:sz w:val="28"/>
          <w:szCs w:val="28"/>
        </w:rPr>
      </w:pPr>
      <w:r>
        <w:rPr>
          <w:rFonts w:eastAsiaTheme="majorEastAsia"/>
          <w:b/>
          <w:bCs/>
          <w:sz w:val="28"/>
          <w:szCs w:val="28"/>
        </w:rPr>
        <w:t xml:space="preserve"> </w:t>
      </w:r>
      <w:r w:rsidR="0019043E" w:rsidRPr="00663E3E">
        <w:rPr>
          <w:rFonts w:eastAsiaTheme="majorEastAsia"/>
          <w:b/>
          <w:bCs/>
          <w:sz w:val="28"/>
          <w:szCs w:val="28"/>
        </w:rPr>
        <w:t xml:space="preserve">Facilities to be provided by the Consultant: </w:t>
      </w:r>
    </w:p>
    <w:p w14:paraId="01D7EA7D" w14:textId="77777777" w:rsidR="0019043E" w:rsidRPr="00EA5690" w:rsidRDefault="0019043E" w:rsidP="00663E3E">
      <w:pPr>
        <w:spacing w:before="120"/>
      </w:pPr>
      <w:r w:rsidRPr="00EA5690">
        <w:t>The Consultant shall be responsible for providing all the necessary facilities and personnel to undertake the assignment including the necessary local transport, security, and accommodation.</w:t>
      </w:r>
    </w:p>
    <w:p w14:paraId="4B70D908" w14:textId="534B747B" w:rsidR="0019043E" w:rsidRDefault="0019043E" w:rsidP="00663E3E">
      <w:pPr>
        <w:spacing w:before="120"/>
        <w:rPr>
          <w:b/>
          <w:bCs/>
          <w:sz w:val="28"/>
          <w:szCs w:val="28"/>
        </w:rPr>
      </w:pPr>
    </w:p>
    <w:p w14:paraId="26521E24" w14:textId="50BE7B3E" w:rsidR="00E339F6" w:rsidRPr="00663E3E" w:rsidRDefault="00E339F6" w:rsidP="00663E3E">
      <w:pPr>
        <w:numPr>
          <w:ilvl w:val="0"/>
          <w:numId w:val="36"/>
        </w:numPr>
        <w:suppressAutoHyphens/>
        <w:ind w:left="360"/>
        <w:contextualSpacing/>
        <w:jc w:val="both"/>
        <w:rPr>
          <w:rFonts w:eastAsiaTheme="majorEastAsia"/>
          <w:b/>
          <w:bCs/>
          <w:sz w:val="28"/>
          <w:szCs w:val="28"/>
        </w:rPr>
      </w:pPr>
      <w:r w:rsidRPr="00663E3E">
        <w:rPr>
          <w:rFonts w:eastAsiaTheme="majorEastAsia"/>
          <w:b/>
          <w:bCs/>
          <w:sz w:val="28"/>
          <w:szCs w:val="28"/>
        </w:rPr>
        <w:t xml:space="preserve"> Reporting and Coordination</w:t>
      </w:r>
      <w:r w:rsidR="00663E3E">
        <w:rPr>
          <w:rFonts w:eastAsiaTheme="majorEastAsia"/>
          <w:b/>
          <w:bCs/>
          <w:sz w:val="28"/>
          <w:szCs w:val="28"/>
        </w:rPr>
        <w:t>:</w:t>
      </w:r>
    </w:p>
    <w:p w14:paraId="375B017A" w14:textId="77777777" w:rsidR="00E339F6" w:rsidRPr="00DF6A15" w:rsidRDefault="00E339F6" w:rsidP="00663E3E">
      <w:pPr>
        <w:spacing w:before="120"/>
        <w:rPr>
          <w:color w:val="000000"/>
        </w:rPr>
      </w:pPr>
      <w:r w:rsidRPr="00DF6A15">
        <w:rPr>
          <w:color w:val="000000"/>
        </w:rPr>
        <w:t>The consultant team responsible for conducting the SESA will report directly to the MoEWR and collaborate closely with relevant government agencies, technical experts, and stakeholders throughout the assessment process. Regular progress updates and milestone reports will be provided to ensure transparency and accountability.</w:t>
      </w:r>
    </w:p>
    <w:p w14:paraId="39547A37" w14:textId="77777777" w:rsidR="00E339F6" w:rsidRPr="00DF6A15" w:rsidRDefault="00E339F6" w:rsidP="00663E3E">
      <w:pPr>
        <w:rPr>
          <w:color w:val="000000"/>
        </w:rPr>
      </w:pPr>
    </w:p>
    <w:p w14:paraId="797D5C47" w14:textId="27F46835" w:rsidR="00E339F6" w:rsidRPr="00663E3E" w:rsidRDefault="00E339F6" w:rsidP="00663E3E">
      <w:pPr>
        <w:numPr>
          <w:ilvl w:val="0"/>
          <w:numId w:val="36"/>
        </w:numPr>
        <w:suppressAutoHyphens/>
        <w:ind w:left="360"/>
        <w:contextualSpacing/>
        <w:jc w:val="both"/>
        <w:rPr>
          <w:rFonts w:eastAsiaTheme="majorEastAsia"/>
          <w:b/>
          <w:bCs/>
          <w:sz w:val="28"/>
          <w:szCs w:val="28"/>
        </w:rPr>
      </w:pPr>
      <w:r w:rsidRPr="00663E3E">
        <w:rPr>
          <w:rFonts w:eastAsiaTheme="majorEastAsia"/>
          <w:b/>
          <w:bCs/>
          <w:sz w:val="28"/>
          <w:szCs w:val="28"/>
        </w:rPr>
        <w:t xml:space="preserve"> Quality Assurance and Review</w:t>
      </w:r>
      <w:r w:rsidR="00663E3E">
        <w:rPr>
          <w:rFonts w:eastAsiaTheme="majorEastAsia"/>
          <w:b/>
          <w:bCs/>
          <w:sz w:val="28"/>
          <w:szCs w:val="28"/>
        </w:rPr>
        <w:t>:</w:t>
      </w:r>
    </w:p>
    <w:p w14:paraId="594A1218" w14:textId="77777777" w:rsidR="00E339F6" w:rsidRPr="00DF6A15" w:rsidRDefault="00E339F6" w:rsidP="00663E3E">
      <w:pPr>
        <w:spacing w:before="120"/>
        <w:rPr>
          <w:color w:val="000000"/>
        </w:rPr>
      </w:pPr>
      <w:r w:rsidRPr="00DF6A15">
        <w:rPr>
          <w:color w:val="000000"/>
        </w:rPr>
        <w:t>The SESA outputs will undergo rigorous quality assurance and review processes to ensure accuracy, reliability, and relevance. Technical experts and stakeholders will be invited to provide feedback and validation of assessment findings and recommendations.</w:t>
      </w:r>
    </w:p>
    <w:p w14:paraId="09A4F7C4" w14:textId="77777777" w:rsidR="00E339F6" w:rsidRPr="00DF6A15" w:rsidRDefault="00E339F6" w:rsidP="00E339F6">
      <w:pPr>
        <w:rPr>
          <w:color w:val="000000"/>
        </w:rPr>
      </w:pPr>
    </w:p>
    <w:p w14:paraId="7ACE30D3" w14:textId="77777777" w:rsidR="00E339F6" w:rsidRPr="00DF6A15" w:rsidRDefault="00E339F6" w:rsidP="00E339F6">
      <w:pPr>
        <w:rPr>
          <w:color w:val="000000"/>
        </w:rPr>
      </w:pPr>
    </w:p>
    <w:p w14:paraId="0F41B846" w14:textId="18E8AD18" w:rsidR="00E339F6" w:rsidRPr="00663E3E" w:rsidRDefault="00E339F6" w:rsidP="00663E3E">
      <w:pPr>
        <w:numPr>
          <w:ilvl w:val="0"/>
          <w:numId w:val="36"/>
        </w:numPr>
        <w:suppressAutoHyphens/>
        <w:ind w:left="360"/>
        <w:contextualSpacing/>
        <w:jc w:val="both"/>
        <w:rPr>
          <w:rFonts w:eastAsiaTheme="majorEastAsia"/>
          <w:b/>
          <w:bCs/>
          <w:sz w:val="28"/>
          <w:szCs w:val="28"/>
        </w:rPr>
      </w:pPr>
      <w:r w:rsidRPr="00663E3E">
        <w:rPr>
          <w:rFonts w:eastAsiaTheme="majorEastAsia"/>
          <w:b/>
          <w:bCs/>
          <w:sz w:val="28"/>
          <w:szCs w:val="28"/>
        </w:rPr>
        <w:t>Conclusion</w:t>
      </w:r>
      <w:r w:rsidR="00663E3E">
        <w:rPr>
          <w:rFonts w:eastAsiaTheme="majorEastAsia"/>
          <w:b/>
          <w:bCs/>
          <w:sz w:val="28"/>
          <w:szCs w:val="28"/>
        </w:rPr>
        <w:t>:</w:t>
      </w:r>
    </w:p>
    <w:p w14:paraId="56091F6C" w14:textId="60B7A690" w:rsidR="005805F4" w:rsidRDefault="00E339F6" w:rsidP="00D66F34">
      <w:pPr>
        <w:spacing w:before="120"/>
        <w:rPr>
          <w:color w:val="000000"/>
        </w:rPr>
      </w:pPr>
      <w:r w:rsidRPr="00DF6A15">
        <w:rPr>
          <w:color w:val="000000"/>
        </w:rPr>
        <w:t>The SESA will play a critical role in guiding the sustainable development of the Electricity Sector in Somalia by integrating environmental and social considerations into sector planning and decision-making processes. By promoting stakeholder engagement, transparency, and accountability, the SESA will contribute to the achieve.</w:t>
      </w:r>
    </w:p>
    <w:p w14:paraId="2FF202DC" w14:textId="51AD297A" w:rsidR="005805F4" w:rsidRPr="00661D03" w:rsidRDefault="00661D03" w:rsidP="00A77CB9">
      <w:pPr>
        <w:suppressAutoHyphens/>
        <w:ind w:left="720"/>
        <w:contextualSpacing/>
        <w:jc w:val="center"/>
        <w:rPr>
          <w:b/>
          <w:color w:val="000000"/>
        </w:rPr>
      </w:pPr>
      <w:r w:rsidRPr="00661D03">
        <w:rPr>
          <w:b/>
          <w:color w:val="000000"/>
        </w:rPr>
        <w:lastRenderedPageBreak/>
        <w:t>ANNE</w:t>
      </w:r>
      <w:r>
        <w:rPr>
          <w:b/>
          <w:color w:val="000000"/>
        </w:rPr>
        <w:t>XE</w:t>
      </w:r>
      <w:r w:rsidRPr="00661D03">
        <w:rPr>
          <w:b/>
          <w:color w:val="000000"/>
        </w:rPr>
        <w:t>S:</w:t>
      </w:r>
    </w:p>
    <w:p w14:paraId="12476E15" w14:textId="77777777" w:rsidR="005805F4" w:rsidRDefault="005805F4" w:rsidP="00E339F6">
      <w:pPr>
        <w:rPr>
          <w:color w:val="000000"/>
        </w:rPr>
      </w:pPr>
    </w:p>
    <w:p w14:paraId="56C4DE3D" w14:textId="06A07CA8" w:rsidR="005805F4" w:rsidRPr="00661D03" w:rsidRDefault="005805F4" w:rsidP="00661D03">
      <w:pPr>
        <w:pStyle w:val="Heading2"/>
        <w:rPr>
          <w:rFonts w:ascii="Times New Roman" w:hAnsi="Times New Roman" w:cs="Times New Roman"/>
        </w:rPr>
      </w:pPr>
      <w:r w:rsidRPr="00661D03">
        <w:rPr>
          <w:rFonts w:ascii="Times New Roman" w:hAnsi="Times New Roman" w:cs="Times New Roman"/>
        </w:rPr>
        <w:t xml:space="preserve">Annex1:  Outline of the SESA Scoping Report </w:t>
      </w:r>
    </w:p>
    <w:p w14:paraId="2C9FF952" w14:textId="77777777" w:rsidR="005805F4" w:rsidRDefault="005805F4" w:rsidP="00E339F6">
      <w:pPr>
        <w:rPr>
          <w:color w:val="000000"/>
        </w:rPr>
      </w:pPr>
    </w:p>
    <w:p w14:paraId="7E89439D" w14:textId="77777777" w:rsidR="005805F4" w:rsidRPr="00661D03" w:rsidRDefault="005805F4" w:rsidP="005805F4">
      <w:pPr>
        <w:rPr>
          <w:color w:val="000000"/>
        </w:rPr>
      </w:pPr>
      <w:r w:rsidRPr="00661D03">
        <w:rPr>
          <w:color w:val="000000"/>
        </w:rPr>
        <w:t>1. Executive summary</w:t>
      </w:r>
    </w:p>
    <w:p w14:paraId="72F3E654" w14:textId="77777777" w:rsidR="005805F4" w:rsidRPr="00661D03" w:rsidRDefault="005805F4" w:rsidP="005805F4">
      <w:pPr>
        <w:rPr>
          <w:color w:val="000000"/>
        </w:rPr>
      </w:pPr>
      <w:r w:rsidRPr="00661D03">
        <w:rPr>
          <w:color w:val="000000"/>
        </w:rPr>
        <w:t>2. Description of the sector programme under consideration</w:t>
      </w:r>
    </w:p>
    <w:p w14:paraId="11D80DF1" w14:textId="77777777" w:rsidR="005805F4" w:rsidRPr="00661D03" w:rsidRDefault="005805F4" w:rsidP="005805F4">
      <w:pPr>
        <w:rPr>
          <w:color w:val="000000"/>
        </w:rPr>
      </w:pPr>
      <w:r w:rsidRPr="00661D03">
        <w:rPr>
          <w:color w:val="000000"/>
        </w:rPr>
        <w:t>3. Overview of the policy, institutional and legislation framework</w:t>
      </w:r>
    </w:p>
    <w:p w14:paraId="289B9FE8" w14:textId="77777777" w:rsidR="005805F4" w:rsidRPr="00661D03" w:rsidRDefault="005805F4" w:rsidP="005805F4">
      <w:pPr>
        <w:rPr>
          <w:color w:val="000000"/>
        </w:rPr>
      </w:pPr>
      <w:r w:rsidRPr="00661D03">
        <w:rPr>
          <w:color w:val="000000"/>
        </w:rPr>
        <w:t>4. Description of key stakeholders and their concerns</w:t>
      </w:r>
    </w:p>
    <w:p w14:paraId="75525A73" w14:textId="77777777" w:rsidR="005805F4" w:rsidRPr="00661D03" w:rsidRDefault="005805F4" w:rsidP="005805F4">
      <w:pPr>
        <w:rPr>
          <w:color w:val="000000"/>
        </w:rPr>
      </w:pPr>
      <w:r w:rsidRPr="00661D03">
        <w:rPr>
          <w:color w:val="000000"/>
        </w:rPr>
        <w:t>5. Description of key environmental aspects to be addressed in the SEA study</w:t>
      </w:r>
    </w:p>
    <w:p w14:paraId="7364DF71" w14:textId="77777777" w:rsidR="005805F4" w:rsidRPr="00661D03" w:rsidRDefault="005805F4" w:rsidP="005805F4">
      <w:pPr>
        <w:rPr>
          <w:color w:val="000000"/>
        </w:rPr>
      </w:pPr>
      <w:r w:rsidRPr="00661D03">
        <w:rPr>
          <w:color w:val="000000"/>
        </w:rPr>
        <w:t>6. Description of the scope of the environmental baseline to be prepared in the SEA study</w:t>
      </w:r>
    </w:p>
    <w:p w14:paraId="7FDCE104" w14:textId="77777777" w:rsidR="005805F4" w:rsidRPr="00661D03" w:rsidRDefault="005805F4" w:rsidP="005805F4">
      <w:pPr>
        <w:rPr>
          <w:color w:val="000000"/>
        </w:rPr>
      </w:pPr>
      <w:r w:rsidRPr="00661D03">
        <w:rPr>
          <w:color w:val="000000"/>
        </w:rPr>
        <w:t>7. Recommendations on specific impact identification and evaluation methodologies to be used in the SEA study</w:t>
      </w:r>
    </w:p>
    <w:p w14:paraId="57B1571B" w14:textId="77777777" w:rsidR="005805F4" w:rsidRPr="00661D03" w:rsidRDefault="005805F4" w:rsidP="005805F4">
      <w:pPr>
        <w:rPr>
          <w:color w:val="000000"/>
        </w:rPr>
      </w:pPr>
      <w:r w:rsidRPr="00661D03">
        <w:rPr>
          <w:color w:val="000000"/>
        </w:rPr>
        <w:t>8. Proposal of time frames and resources needed for the SEA study</w:t>
      </w:r>
    </w:p>
    <w:p w14:paraId="49677C00" w14:textId="77777777" w:rsidR="005805F4" w:rsidRPr="00661D03" w:rsidRDefault="005805F4" w:rsidP="005805F4">
      <w:pPr>
        <w:rPr>
          <w:color w:val="000000"/>
        </w:rPr>
      </w:pPr>
      <w:r w:rsidRPr="00661D03">
        <w:rPr>
          <w:color w:val="000000"/>
        </w:rPr>
        <w:t>9. Technical appendices</w:t>
      </w:r>
    </w:p>
    <w:p w14:paraId="220CF9FF" w14:textId="77777777" w:rsidR="005805F4" w:rsidRPr="00661D03" w:rsidRDefault="005805F4" w:rsidP="005805F4">
      <w:pPr>
        <w:ind w:firstLine="708"/>
        <w:rPr>
          <w:color w:val="000000"/>
        </w:rPr>
      </w:pPr>
      <w:r w:rsidRPr="00661D03">
        <w:rPr>
          <w:color w:val="000000"/>
        </w:rPr>
        <w:t>I. Stakeholder engagement methodology</w:t>
      </w:r>
    </w:p>
    <w:p w14:paraId="54FDEE47" w14:textId="7B1D074E" w:rsidR="005805F4" w:rsidRDefault="005805F4" w:rsidP="00A77CB9">
      <w:pPr>
        <w:ind w:firstLine="708"/>
        <w:rPr>
          <w:color w:val="000000"/>
        </w:rPr>
      </w:pPr>
      <w:r w:rsidRPr="00661D03">
        <w:rPr>
          <w:color w:val="000000"/>
        </w:rPr>
        <w:t>II. List of stakeholders engaged or consulted.</w:t>
      </w:r>
    </w:p>
    <w:p w14:paraId="44F3C089" w14:textId="5AF0EE6F" w:rsidR="005805F4" w:rsidRPr="00661D03" w:rsidRDefault="005805F4" w:rsidP="00661D03">
      <w:pPr>
        <w:pStyle w:val="Heading2"/>
        <w:rPr>
          <w:rFonts w:ascii="Times New Roman" w:hAnsi="Times New Roman" w:cs="Times New Roman"/>
        </w:rPr>
      </w:pPr>
      <w:r w:rsidRPr="00661D03">
        <w:rPr>
          <w:rFonts w:ascii="Times New Roman" w:hAnsi="Times New Roman" w:cs="Times New Roman"/>
        </w:rPr>
        <w:t xml:space="preserve">Annex </w:t>
      </w:r>
      <w:r w:rsidR="00661D03">
        <w:rPr>
          <w:rFonts w:ascii="Times New Roman" w:hAnsi="Times New Roman" w:cs="Times New Roman"/>
        </w:rPr>
        <w:t>2</w:t>
      </w:r>
      <w:r w:rsidRPr="00661D03">
        <w:rPr>
          <w:rFonts w:ascii="Times New Roman" w:hAnsi="Times New Roman" w:cs="Times New Roman"/>
        </w:rPr>
        <w:t>: Outline of sector SESA report</w:t>
      </w:r>
    </w:p>
    <w:p w14:paraId="62BA415E" w14:textId="77777777" w:rsidR="005805F4" w:rsidRDefault="005805F4" w:rsidP="00E339F6">
      <w:pPr>
        <w:rPr>
          <w:u w:val="single"/>
        </w:rPr>
      </w:pPr>
    </w:p>
    <w:p w14:paraId="600EC511" w14:textId="77777777" w:rsidR="005805F4" w:rsidRPr="00661D03" w:rsidRDefault="005805F4" w:rsidP="005805F4">
      <w:pPr>
        <w:rPr>
          <w:color w:val="000000"/>
        </w:rPr>
      </w:pPr>
      <w:r w:rsidRPr="001F7319">
        <w:t>1</w:t>
      </w:r>
      <w:r w:rsidRPr="00661D03">
        <w:rPr>
          <w:color w:val="000000"/>
        </w:rPr>
        <w:t>. Executive summary</w:t>
      </w:r>
    </w:p>
    <w:p w14:paraId="31AAFAEA" w14:textId="77777777" w:rsidR="005805F4" w:rsidRPr="00661D03" w:rsidRDefault="005805F4" w:rsidP="005805F4">
      <w:pPr>
        <w:rPr>
          <w:color w:val="000000"/>
        </w:rPr>
      </w:pPr>
      <w:r w:rsidRPr="00661D03">
        <w:rPr>
          <w:color w:val="000000"/>
        </w:rPr>
        <w:t>2. Scope</w:t>
      </w:r>
    </w:p>
    <w:p w14:paraId="07689F67" w14:textId="77777777" w:rsidR="005805F4" w:rsidRPr="00661D03" w:rsidRDefault="005805F4" w:rsidP="005805F4">
      <w:pPr>
        <w:rPr>
          <w:color w:val="000000"/>
        </w:rPr>
      </w:pPr>
      <w:r w:rsidRPr="00661D03">
        <w:rPr>
          <w:color w:val="000000"/>
        </w:rPr>
        <w:t>3. Background</w:t>
      </w:r>
    </w:p>
    <w:p w14:paraId="53B7F554" w14:textId="77777777" w:rsidR="005805F4" w:rsidRPr="00661D03" w:rsidRDefault="005805F4" w:rsidP="005805F4">
      <w:pPr>
        <w:rPr>
          <w:color w:val="000000"/>
        </w:rPr>
      </w:pPr>
      <w:r w:rsidRPr="00661D03">
        <w:rPr>
          <w:color w:val="000000"/>
        </w:rPr>
        <w:tab/>
        <w:t>3.1 Sector programme justification and purpose</w:t>
      </w:r>
    </w:p>
    <w:p w14:paraId="534B7939" w14:textId="77777777" w:rsidR="005805F4" w:rsidRPr="00661D03" w:rsidRDefault="005805F4" w:rsidP="005805F4">
      <w:pPr>
        <w:rPr>
          <w:color w:val="000000"/>
        </w:rPr>
      </w:pPr>
      <w:r w:rsidRPr="00661D03">
        <w:rPr>
          <w:color w:val="000000"/>
        </w:rPr>
        <w:tab/>
        <w:t>3.2 Alternatives</w:t>
      </w:r>
    </w:p>
    <w:p w14:paraId="11765428" w14:textId="77777777" w:rsidR="005805F4" w:rsidRPr="00661D03" w:rsidRDefault="005805F4" w:rsidP="005805F4">
      <w:pPr>
        <w:rPr>
          <w:color w:val="000000"/>
        </w:rPr>
      </w:pPr>
      <w:r w:rsidRPr="00661D03">
        <w:rPr>
          <w:color w:val="000000"/>
        </w:rPr>
        <w:tab/>
        <w:t>3.3 Environmental policy, legislative and planning framework</w:t>
      </w:r>
    </w:p>
    <w:p w14:paraId="03872AD9" w14:textId="77777777" w:rsidR="005805F4" w:rsidRPr="00661D03" w:rsidRDefault="005805F4" w:rsidP="005805F4">
      <w:pPr>
        <w:rPr>
          <w:color w:val="000000"/>
        </w:rPr>
      </w:pPr>
      <w:r w:rsidRPr="00661D03">
        <w:rPr>
          <w:color w:val="000000"/>
        </w:rPr>
        <w:t>4. Approach and methodology</w:t>
      </w:r>
    </w:p>
    <w:p w14:paraId="73836FAA" w14:textId="77777777" w:rsidR="005805F4" w:rsidRPr="00661D03" w:rsidRDefault="005805F4" w:rsidP="005805F4">
      <w:pPr>
        <w:rPr>
          <w:color w:val="000000"/>
        </w:rPr>
      </w:pPr>
      <w:r w:rsidRPr="00661D03">
        <w:rPr>
          <w:color w:val="000000"/>
        </w:rPr>
        <w:tab/>
        <w:t>4.1 General approach</w:t>
      </w:r>
    </w:p>
    <w:p w14:paraId="145FCCBD" w14:textId="77777777" w:rsidR="005805F4" w:rsidRPr="00661D03" w:rsidRDefault="005805F4" w:rsidP="005805F4">
      <w:pPr>
        <w:rPr>
          <w:color w:val="000000"/>
        </w:rPr>
      </w:pPr>
      <w:r w:rsidRPr="00661D03">
        <w:rPr>
          <w:color w:val="000000"/>
        </w:rPr>
        <w:tab/>
        <w:t>4.2 Geographical or environmental mapping units</w:t>
      </w:r>
    </w:p>
    <w:p w14:paraId="3A3E2B6D" w14:textId="130F6EBA" w:rsidR="005805F4" w:rsidRPr="00661D03" w:rsidRDefault="005805F4" w:rsidP="005805F4">
      <w:pPr>
        <w:rPr>
          <w:color w:val="000000"/>
        </w:rPr>
      </w:pPr>
      <w:r w:rsidRPr="00661D03">
        <w:rPr>
          <w:color w:val="000000"/>
        </w:rPr>
        <w:tab/>
        <w:t>4.3 Assumptions, uncertainties, and constraints</w:t>
      </w:r>
    </w:p>
    <w:p w14:paraId="7E14DA59" w14:textId="76BBBB19" w:rsidR="005805F4" w:rsidRPr="00661D03" w:rsidRDefault="005805F4" w:rsidP="005805F4">
      <w:pPr>
        <w:rPr>
          <w:color w:val="000000"/>
        </w:rPr>
      </w:pPr>
      <w:r w:rsidRPr="00661D03">
        <w:rPr>
          <w:color w:val="000000"/>
        </w:rPr>
        <w:t>5. Environmental and social baseline study</w:t>
      </w:r>
    </w:p>
    <w:p w14:paraId="01097BCD" w14:textId="77777777" w:rsidR="005805F4" w:rsidRPr="00661D03" w:rsidRDefault="005805F4" w:rsidP="005805F4">
      <w:pPr>
        <w:rPr>
          <w:color w:val="000000"/>
        </w:rPr>
      </w:pPr>
      <w:r w:rsidRPr="00661D03">
        <w:rPr>
          <w:color w:val="000000"/>
        </w:rPr>
        <w:t>6. Impact identification and evaluation</w:t>
      </w:r>
    </w:p>
    <w:p w14:paraId="63DF1780" w14:textId="77777777" w:rsidR="005805F4" w:rsidRPr="00661D03" w:rsidRDefault="005805F4" w:rsidP="005805F4">
      <w:pPr>
        <w:rPr>
          <w:color w:val="000000"/>
        </w:rPr>
      </w:pPr>
      <w:r w:rsidRPr="00661D03">
        <w:rPr>
          <w:color w:val="000000"/>
        </w:rPr>
        <w:t>7. Analysis of alternatives</w:t>
      </w:r>
    </w:p>
    <w:p w14:paraId="009573E7" w14:textId="0327896E" w:rsidR="005805F4" w:rsidRPr="00661D03" w:rsidRDefault="005805F4" w:rsidP="005805F4">
      <w:pPr>
        <w:rPr>
          <w:color w:val="000000"/>
        </w:rPr>
      </w:pPr>
      <w:r w:rsidRPr="00661D03">
        <w:rPr>
          <w:color w:val="000000"/>
        </w:rPr>
        <w:t xml:space="preserve">8. Mitigation or </w:t>
      </w:r>
      <w:r w:rsidR="00661D03" w:rsidRPr="00661D03">
        <w:rPr>
          <w:color w:val="000000"/>
        </w:rPr>
        <w:t>optimizing</w:t>
      </w:r>
      <w:r w:rsidRPr="00661D03">
        <w:rPr>
          <w:color w:val="000000"/>
        </w:rPr>
        <w:t xml:space="preserve"> measures</w:t>
      </w:r>
    </w:p>
    <w:p w14:paraId="008C212A" w14:textId="77777777" w:rsidR="005805F4" w:rsidRPr="00661D03" w:rsidRDefault="005805F4" w:rsidP="005805F4">
      <w:pPr>
        <w:rPr>
          <w:color w:val="000000"/>
        </w:rPr>
      </w:pPr>
      <w:r w:rsidRPr="00661D03">
        <w:rPr>
          <w:color w:val="000000"/>
        </w:rPr>
        <w:t>9. Indicators and institutional capacities</w:t>
      </w:r>
    </w:p>
    <w:p w14:paraId="1AE0FD3C" w14:textId="77777777" w:rsidR="005805F4" w:rsidRPr="00661D03" w:rsidRDefault="005805F4" w:rsidP="005805F4">
      <w:pPr>
        <w:rPr>
          <w:color w:val="000000"/>
        </w:rPr>
      </w:pPr>
      <w:r w:rsidRPr="00661D03">
        <w:rPr>
          <w:color w:val="000000"/>
        </w:rPr>
        <w:t>10. Conclusions and recommendations</w:t>
      </w:r>
    </w:p>
    <w:p w14:paraId="26D16A72" w14:textId="76463AF2" w:rsidR="005805F4" w:rsidRPr="00661D03" w:rsidRDefault="005805F4" w:rsidP="00661D03">
      <w:pPr>
        <w:rPr>
          <w:color w:val="000000"/>
        </w:rPr>
      </w:pPr>
      <w:r w:rsidRPr="00661D03">
        <w:rPr>
          <w:color w:val="000000"/>
        </w:rPr>
        <w:tab/>
        <w:t>10.1. General conclusions</w:t>
      </w:r>
    </w:p>
    <w:p w14:paraId="4AED5036" w14:textId="2F7FAD4D" w:rsidR="005805F4" w:rsidRPr="00661D03" w:rsidRDefault="005805F4" w:rsidP="00661D03">
      <w:pPr>
        <w:rPr>
          <w:color w:val="000000"/>
        </w:rPr>
      </w:pPr>
      <w:r w:rsidRPr="00661D03">
        <w:rPr>
          <w:color w:val="000000"/>
        </w:rPr>
        <w:tab/>
        <w:t>10.2. Recommendations for sector development</w:t>
      </w:r>
    </w:p>
    <w:p w14:paraId="0D2AF552" w14:textId="77777777" w:rsidR="005805F4" w:rsidRPr="00661D03" w:rsidRDefault="005805F4" w:rsidP="00661D03">
      <w:pPr>
        <w:rPr>
          <w:color w:val="000000"/>
        </w:rPr>
      </w:pPr>
    </w:p>
    <w:p w14:paraId="44120C20" w14:textId="77777777" w:rsidR="005805F4" w:rsidRPr="00661D03" w:rsidRDefault="005805F4" w:rsidP="005805F4">
      <w:pPr>
        <w:rPr>
          <w:color w:val="000000"/>
        </w:rPr>
      </w:pPr>
      <w:r w:rsidRPr="00661D03">
        <w:rPr>
          <w:color w:val="000000"/>
        </w:rPr>
        <w:t>11. Technical appendices</w:t>
      </w:r>
    </w:p>
    <w:p w14:paraId="03681074" w14:textId="1809FE14" w:rsidR="005805F4" w:rsidRPr="00661D03" w:rsidRDefault="005805F4" w:rsidP="00661D03">
      <w:pPr>
        <w:rPr>
          <w:color w:val="000000"/>
        </w:rPr>
      </w:pPr>
      <w:r w:rsidRPr="00661D03">
        <w:rPr>
          <w:color w:val="000000"/>
        </w:rPr>
        <w:t>Maps and other illustrative information not incorporated into the main report.</w:t>
      </w:r>
    </w:p>
    <w:p w14:paraId="4A4BEA09" w14:textId="5DC2E8AC" w:rsidR="005805F4" w:rsidRPr="00661D03" w:rsidRDefault="005805F4" w:rsidP="00661D03">
      <w:pPr>
        <w:rPr>
          <w:color w:val="000000"/>
        </w:rPr>
      </w:pPr>
      <w:r w:rsidRPr="00661D03">
        <w:rPr>
          <w:color w:val="000000"/>
        </w:rPr>
        <w:t>Other technical information and data, as required.</w:t>
      </w:r>
    </w:p>
    <w:p w14:paraId="5D5E4870" w14:textId="0720443B" w:rsidR="005805F4" w:rsidRPr="00661D03" w:rsidRDefault="005805F4" w:rsidP="00661D03">
      <w:pPr>
        <w:rPr>
          <w:color w:val="000000"/>
        </w:rPr>
      </w:pPr>
      <w:r w:rsidRPr="00661D03">
        <w:rPr>
          <w:color w:val="000000"/>
        </w:rPr>
        <w:t>List of stakeholders consulted/engaged.</w:t>
      </w:r>
    </w:p>
    <w:p w14:paraId="050DE37B" w14:textId="77777777" w:rsidR="005805F4" w:rsidRPr="00661D03" w:rsidRDefault="005805F4" w:rsidP="00661D03">
      <w:pPr>
        <w:rPr>
          <w:color w:val="000000"/>
        </w:rPr>
      </w:pPr>
      <w:r w:rsidRPr="00661D03">
        <w:rPr>
          <w:color w:val="000000"/>
        </w:rPr>
        <w:t>Records of stakeholders’ participation</w:t>
      </w:r>
    </w:p>
    <w:p w14:paraId="00DCA3A7" w14:textId="77777777" w:rsidR="005805F4" w:rsidRPr="00661D03" w:rsidRDefault="005805F4" w:rsidP="005805F4">
      <w:pPr>
        <w:rPr>
          <w:color w:val="000000"/>
        </w:rPr>
      </w:pPr>
    </w:p>
    <w:p w14:paraId="607EAD70" w14:textId="6F0C44D8" w:rsidR="005805F4" w:rsidRPr="00DF6A15" w:rsidRDefault="005805F4" w:rsidP="00E339F6">
      <w:pPr>
        <w:rPr>
          <w:color w:val="000000"/>
        </w:rPr>
      </w:pPr>
      <w:r w:rsidRPr="00661D03">
        <w:rPr>
          <w:color w:val="000000"/>
        </w:rPr>
        <w:t>11. Other appendices</w:t>
      </w:r>
      <w:r w:rsidR="00A77CB9">
        <w:rPr>
          <w:color w:val="000000"/>
        </w:rPr>
        <w:t>.</w:t>
      </w:r>
    </w:p>
    <w:sectPr w:rsidR="005805F4" w:rsidRPr="00DF6A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44EEE" w14:textId="77777777" w:rsidR="00824D09" w:rsidRDefault="00824D09" w:rsidP="00CE69E6">
      <w:r>
        <w:separator/>
      </w:r>
    </w:p>
  </w:endnote>
  <w:endnote w:type="continuationSeparator" w:id="0">
    <w:p w14:paraId="5113327C" w14:textId="77777777" w:rsidR="00824D09" w:rsidRDefault="00824D09" w:rsidP="00CE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B43C6" w14:textId="77777777" w:rsidR="00824D09" w:rsidRDefault="00824D09" w:rsidP="00CE69E6">
      <w:r>
        <w:separator/>
      </w:r>
    </w:p>
  </w:footnote>
  <w:footnote w:type="continuationSeparator" w:id="0">
    <w:p w14:paraId="3DE0C4BC" w14:textId="77777777" w:rsidR="00824D09" w:rsidRDefault="00824D09" w:rsidP="00CE69E6">
      <w:r>
        <w:continuationSeparator/>
      </w:r>
    </w:p>
  </w:footnote>
  <w:footnote w:id="1">
    <w:p w14:paraId="4D0A8162" w14:textId="186AB572" w:rsidR="005202A0" w:rsidRDefault="005202A0">
      <w:pPr>
        <w:pStyle w:val="FootnoteText"/>
      </w:pPr>
      <w:r>
        <w:rPr>
          <w:rStyle w:val="FootnoteReference"/>
        </w:rPr>
        <w:footnoteRef/>
      </w:r>
      <w:r>
        <w:t xml:space="preserve"> </w:t>
      </w:r>
      <w:hyperlink r:id="rId1" w:history="1">
        <w:r w:rsidRPr="008E4A79">
          <w:rPr>
            <w:rStyle w:val="Hyperlink"/>
          </w:rPr>
          <w:t>https://moewr.gov.so/ova_doc/somalia-power-master/</w:t>
        </w:r>
      </w:hyperlink>
    </w:p>
  </w:footnote>
  <w:footnote w:id="2">
    <w:p w14:paraId="6AC9F26F" w14:textId="03927114" w:rsidR="005202A0" w:rsidRDefault="005202A0">
      <w:pPr>
        <w:pStyle w:val="FootnoteText"/>
      </w:pPr>
      <w:r>
        <w:rPr>
          <w:rStyle w:val="FootnoteReference"/>
        </w:rPr>
        <w:footnoteRef/>
      </w:r>
      <w:r>
        <w:t xml:space="preserve"> </w:t>
      </w:r>
      <w:r w:rsidR="009333FF" w:rsidRPr="009333FF">
        <w:t>https://moewr.gov.so/ova_doc/somalia-least-cost-electrification-report-2/</w:t>
      </w:r>
    </w:p>
  </w:footnote>
  <w:footnote w:id="3">
    <w:p w14:paraId="58F9CD0F" w14:textId="30D4CCC6" w:rsidR="005202A0" w:rsidRDefault="005202A0">
      <w:pPr>
        <w:pStyle w:val="FootnoteText"/>
      </w:pPr>
      <w:r>
        <w:rPr>
          <w:rStyle w:val="FootnoteReference"/>
        </w:rPr>
        <w:footnoteRef/>
      </w:r>
      <w:r>
        <w:t xml:space="preserve"> </w:t>
      </w:r>
      <w:r w:rsidR="009333FF" w:rsidRPr="009333FF">
        <w:t>https://moewr.gov.so/ova_doc/esi-report/</w:t>
      </w:r>
    </w:p>
  </w:footnote>
  <w:footnote w:id="4">
    <w:p w14:paraId="4CD024CF" w14:textId="77777777" w:rsidR="00607706" w:rsidRPr="00A03107" w:rsidRDefault="00607706" w:rsidP="00607706">
      <w:pPr>
        <w:pStyle w:val="FootnoteText"/>
        <w:rPr>
          <w:rFonts w:ascii="Times New Roman" w:hAnsi="Times New Roman" w:cs="Times New Roman"/>
          <w:szCs w:val="18"/>
        </w:rPr>
      </w:pPr>
      <w:r w:rsidRPr="00A03107">
        <w:rPr>
          <w:rStyle w:val="FootnoteReference"/>
          <w:rFonts w:ascii="Times New Roman" w:hAnsi="Times New Roman" w:cs="Times New Roman"/>
          <w:szCs w:val="18"/>
        </w:rPr>
        <w:footnoteRef/>
      </w:r>
      <w:r w:rsidRPr="00A03107">
        <w:rPr>
          <w:rFonts w:ascii="Times New Roman" w:hAnsi="Times New Roman" w:cs="Times New Roman"/>
          <w:szCs w:val="18"/>
        </w:rPr>
        <w:t xml:space="preserve"> May also be known as Valued Components, see IFC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F05"/>
    <w:multiLevelType w:val="hybridMultilevel"/>
    <w:tmpl w:val="F1EA29DA"/>
    <w:lvl w:ilvl="0" w:tplc="FA4AB058">
      <w:start w:val="1"/>
      <w:numFmt w:val="decimal"/>
      <w:pStyle w:val="Normal0"/>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07764"/>
    <w:multiLevelType w:val="multilevel"/>
    <w:tmpl w:val="111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5F2906"/>
    <w:multiLevelType w:val="multilevel"/>
    <w:tmpl w:val="2C48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44A81"/>
    <w:multiLevelType w:val="hybridMultilevel"/>
    <w:tmpl w:val="0B46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45B2E"/>
    <w:multiLevelType w:val="hybridMultilevel"/>
    <w:tmpl w:val="6DA4C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FA5037"/>
    <w:multiLevelType w:val="hybridMultilevel"/>
    <w:tmpl w:val="BDB42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626008C"/>
    <w:multiLevelType w:val="hybridMultilevel"/>
    <w:tmpl w:val="50DEC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C606ED"/>
    <w:multiLevelType w:val="hybridMultilevel"/>
    <w:tmpl w:val="B8C6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B0202"/>
    <w:multiLevelType w:val="multilevel"/>
    <w:tmpl w:val="587865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917C4A"/>
    <w:multiLevelType w:val="hybridMultilevel"/>
    <w:tmpl w:val="F122321E"/>
    <w:lvl w:ilvl="0" w:tplc="8DFEEE9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FB5156"/>
    <w:multiLevelType w:val="multilevel"/>
    <w:tmpl w:val="987E8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Times New Roman" w:eastAsia="Times New Roman" w:hAnsi="Times New Roman" w:cs="Times New Roman"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9766D"/>
    <w:multiLevelType w:val="hybridMultilevel"/>
    <w:tmpl w:val="0040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96106"/>
    <w:multiLevelType w:val="hybridMultilevel"/>
    <w:tmpl w:val="EB9E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A151C9"/>
    <w:multiLevelType w:val="multilevel"/>
    <w:tmpl w:val="915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A64B3B"/>
    <w:multiLevelType w:val="hybridMultilevel"/>
    <w:tmpl w:val="7DF0D924"/>
    <w:lvl w:ilvl="0" w:tplc="EF2C20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5709EC"/>
    <w:multiLevelType w:val="hybridMultilevel"/>
    <w:tmpl w:val="BAA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144DD"/>
    <w:multiLevelType w:val="hybridMultilevel"/>
    <w:tmpl w:val="3ADC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074D9"/>
    <w:multiLevelType w:val="hybridMultilevel"/>
    <w:tmpl w:val="FC9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01A52"/>
    <w:multiLevelType w:val="multilevel"/>
    <w:tmpl w:val="FAF2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662C8"/>
    <w:multiLevelType w:val="hybridMultilevel"/>
    <w:tmpl w:val="E12C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B45CB"/>
    <w:multiLevelType w:val="multilevel"/>
    <w:tmpl w:val="866EA2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D35847"/>
    <w:multiLevelType w:val="hybridMultilevel"/>
    <w:tmpl w:val="C282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F676F"/>
    <w:multiLevelType w:val="hybridMultilevel"/>
    <w:tmpl w:val="BFE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5746B"/>
    <w:multiLevelType w:val="hybridMultilevel"/>
    <w:tmpl w:val="E4FC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387A99"/>
    <w:multiLevelType w:val="multilevel"/>
    <w:tmpl w:val="3C02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ED0B6F"/>
    <w:multiLevelType w:val="multilevel"/>
    <w:tmpl w:val="BC34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18124A"/>
    <w:multiLevelType w:val="multilevel"/>
    <w:tmpl w:val="C6C4D8BA"/>
    <w:styleLink w:val="StyleAvecpuces11pt"/>
    <w:lvl w:ilvl="0">
      <w:start w:val="1"/>
      <w:numFmt w:val="bullet"/>
      <w:lvlText w:val=""/>
      <w:lvlJc w:val="left"/>
      <w:pPr>
        <w:tabs>
          <w:tab w:val="num" w:pos="360"/>
        </w:tabs>
        <w:ind w:left="283" w:hanging="283"/>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2B0FA2"/>
    <w:multiLevelType w:val="hybridMultilevel"/>
    <w:tmpl w:val="DCE25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485CD8"/>
    <w:multiLevelType w:val="hybridMultilevel"/>
    <w:tmpl w:val="438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0B4A41"/>
    <w:multiLevelType w:val="hybridMultilevel"/>
    <w:tmpl w:val="ECDA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F31A8"/>
    <w:multiLevelType w:val="multilevel"/>
    <w:tmpl w:val="C6C4D8BA"/>
    <w:numStyleLink w:val="StyleAvecpuces11pt"/>
  </w:abstractNum>
  <w:abstractNum w:abstractNumId="31" w15:restartNumberingAfterBreak="0">
    <w:nsid w:val="4070424A"/>
    <w:multiLevelType w:val="multilevel"/>
    <w:tmpl w:val="C6C4D8BA"/>
    <w:numStyleLink w:val="StyleAvecpuces11pt"/>
  </w:abstractNum>
  <w:abstractNum w:abstractNumId="32" w15:restartNumberingAfterBreak="0">
    <w:nsid w:val="41CF6D62"/>
    <w:multiLevelType w:val="hybridMultilevel"/>
    <w:tmpl w:val="4D20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994"/>
    <w:multiLevelType w:val="hybridMultilevel"/>
    <w:tmpl w:val="2BD8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1E74F4"/>
    <w:multiLevelType w:val="multilevel"/>
    <w:tmpl w:val="FC12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997EDD"/>
    <w:multiLevelType w:val="hybridMultilevel"/>
    <w:tmpl w:val="D1542306"/>
    <w:lvl w:ilvl="0" w:tplc="5C5CAD3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A23031"/>
    <w:multiLevelType w:val="multilevel"/>
    <w:tmpl w:val="035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8A727F"/>
    <w:multiLevelType w:val="multilevel"/>
    <w:tmpl w:val="C6C4D8BA"/>
    <w:numStyleLink w:val="StyleAvecpuces11pt"/>
  </w:abstractNum>
  <w:abstractNum w:abstractNumId="38" w15:restartNumberingAfterBreak="0">
    <w:nsid w:val="5614774B"/>
    <w:multiLevelType w:val="multilevel"/>
    <w:tmpl w:val="8840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6D5AB8"/>
    <w:multiLevelType w:val="hybridMultilevel"/>
    <w:tmpl w:val="E1369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C424D0"/>
    <w:multiLevelType w:val="multilevel"/>
    <w:tmpl w:val="0F66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961B7D"/>
    <w:multiLevelType w:val="multilevel"/>
    <w:tmpl w:val="8F30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BC6CF2"/>
    <w:multiLevelType w:val="multilevel"/>
    <w:tmpl w:val="C6C4D8BA"/>
    <w:numStyleLink w:val="StyleAvecpuces11pt"/>
  </w:abstractNum>
  <w:abstractNum w:abstractNumId="43" w15:restartNumberingAfterBreak="0">
    <w:nsid w:val="6F167188"/>
    <w:multiLevelType w:val="hybridMultilevel"/>
    <w:tmpl w:val="87D6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E83C76"/>
    <w:multiLevelType w:val="multilevel"/>
    <w:tmpl w:val="5F00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400C30"/>
    <w:multiLevelType w:val="multilevel"/>
    <w:tmpl w:val="A496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72083F"/>
    <w:multiLevelType w:val="hybridMultilevel"/>
    <w:tmpl w:val="1656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C2208"/>
    <w:multiLevelType w:val="multilevel"/>
    <w:tmpl w:val="AAE6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6C5C0F"/>
    <w:multiLevelType w:val="hybridMultilevel"/>
    <w:tmpl w:val="FADA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567608">
    <w:abstractNumId w:val="18"/>
  </w:num>
  <w:num w:numId="2" w16cid:durableId="393893483">
    <w:abstractNumId w:val="36"/>
  </w:num>
  <w:num w:numId="3" w16cid:durableId="540895847">
    <w:abstractNumId w:val="13"/>
  </w:num>
  <w:num w:numId="4" w16cid:durableId="804591783">
    <w:abstractNumId w:val="24"/>
  </w:num>
  <w:num w:numId="5" w16cid:durableId="1195656005">
    <w:abstractNumId w:val="2"/>
  </w:num>
  <w:num w:numId="6" w16cid:durableId="381635795">
    <w:abstractNumId w:val="1"/>
  </w:num>
  <w:num w:numId="7" w16cid:durableId="2109041587">
    <w:abstractNumId w:val="44"/>
  </w:num>
  <w:num w:numId="8" w16cid:durableId="657920910">
    <w:abstractNumId w:val="47"/>
  </w:num>
  <w:num w:numId="9" w16cid:durableId="1994871989">
    <w:abstractNumId w:val="41"/>
  </w:num>
  <w:num w:numId="10" w16cid:durableId="386605943">
    <w:abstractNumId w:val="40"/>
  </w:num>
  <w:num w:numId="11" w16cid:durableId="241841794">
    <w:abstractNumId w:val="25"/>
  </w:num>
  <w:num w:numId="12" w16cid:durableId="766539231">
    <w:abstractNumId w:val="34"/>
  </w:num>
  <w:num w:numId="13" w16cid:durableId="902981366">
    <w:abstractNumId w:val="5"/>
  </w:num>
  <w:num w:numId="14" w16cid:durableId="1803813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0555817">
    <w:abstractNumId w:val="22"/>
  </w:num>
  <w:num w:numId="16" w16cid:durableId="1429498078">
    <w:abstractNumId w:val="14"/>
  </w:num>
  <w:num w:numId="17" w16cid:durableId="1342781143">
    <w:abstractNumId w:val="7"/>
  </w:num>
  <w:num w:numId="18" w16cid:durableId="1679229010">
    <w:abstractNumId w:val="3"/>
  </w:num>
  <w:num w:numId="19" w16cid:durableId="123544244">
    <w:abstractNumId w:val="11"/>
  </w:num>
  <w:num w:numId="20" w16cid:durableId="1971476970">
    <w:abstractNumId w:val="16"/>
  </w:num>
  <w:num w:numId="21" w16cid:durableId="491409518">
    <w:abstractNumId w:val="32"/>
  </w:num>
  <w:num w:numId="22" w16cid:durableId="89130136">
    <w:abstractNumId w:val="46"/>
  </w:num>
  <w:num w:numId="23" w16cid:durableId="645013220">
    <w:abstractNumId w:val="28"/>
  </w:num>
  <w:num w:numId="24" w16cid:durableId="137461368">
    <w:abstractNumId w:val="12"/>
  </w:num>
  <w:num w:numId="25" w16cid:durableId="896211356">
    <w:abstractNumId w:val="19"/>
  </w:num>
  <w:num w:numId="26" w16cid:durableId="1140459841">
    <w:abstractNumId w:val="21"/>
  </w:num>
  <w:num w:numId="27" w16cid:durableId="1491171150">
    <w:abstractNumId w:val="29"/>
  </w:num>
  <w:num w:numId="28" w16cid:durableId="2051958508">
    <w:abstractNumId w:val="23"/>
  </w:num>
  <w:num w:numId="29" w16cid:durableId="1479492322">
    <w:abstractNumId w:val="45"/>
  </w:num>
  <w:num w:numId="30" w16cid:durableId="435709162">
    <w:abstractNumId w:val="26"/>
  </w:num>
  <w:num w:numId="31" w16cid:durableId="828790144">
    <w:abstractNumId w:val="42"/>
  </w:num>
  <w:num w:numId="32" w16cid:durableId="1472288298">
    <w:abstractNumId w:val="30"/>
  </w:num>
  <w:num w:numId="33" w16cid:durableId="1288390624">
    <w:abstractNumId w:val="37"/>
  </w:num>
  <w:num w:numId="34" w16cid:durableId="808018262">
    <w:abstractNumId w:val="31"/>
  </w:num>
  <w:num w:numId="35" w16cid:durableId="1072578797">
    <w:abstractNumId w:val="20"/>
  </w:num>
  <w:num w:numId="36" w16cid:durableId="937760390">
    <w:abstractNumId w:val="8"/>
  </w:num>
  <w:num w:numId="37" w16cid:durableId="1695837154">
    <w:abstractNumId w:val="48"/>
  </w:num>
  <w:num w:numId="38" w16cid:durableId="995381631">
    <w:abstractNumId w:val="39"/>
  </w:num>
  <w:num w:numId="39" w16cid:durableId="341012229">
    <w:abstractNumId w:val="43"/>
  </w:num>
  <w:num w:numId="40" w16cid:durableId="2067415481">
    <w:abstractNumId w:val="15"/>
  </w:num>
  <w:num w:numId="41" w16cid:durableId="689642817">
    <w:abstractNumId w:val="9"/>
  </w:num>
  <w:num w:numId="42" w16cid:durableId="634405643">
    <w:abstractNumId w:val="27"/>
  </w:num>
  <w:num w:numId="43" w16cid:durableId="541409634">
    <w:abstractNumId w:val="0"/>
  </w:num>
  <w:num w:numId="44" w16cid:durableId="1458601368">
    <w:abstractNumId w:val="35"/>
  </w:num>
  <w:num w:numId="45" w16cid:durableId="824008573">
    <w:abstractNumId w:val="38"/>
  </w:num>
  <w:num w:numId="46" w16cid:durableId="336885858">
    <w:abstractNumId w:val="10"/>
  </w:num>
  <w:num w:numId="47" w16cid:durableId="1992782212">
    <w:abstractNumId w:val="17"/>
  </w:num>
  <w:num w:numId="48" w16cid:durableId="2055157721">
    <w:abstractNumId w:val="33"/>
  </w:num>
  <w:num w:numId="49" w16cid:durableId="997726756">
    <w:abstractNumId w:val="4"/>
  </w:num>
  <w:num w:numId="50" w16cid:durableId="198278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F6"/>
    <w:rsid w:val="000165B4"/>
    <w:rsid w:val="00020847"/>
    <w:rsid w:val="00021D19"/>
    <w:rsid w:val="00024F5F"/>
    <w:rsid w:val="000358F7"/>
    <w:rsid w:val="00042F91"/>
    <w:rsid w:val="000440F9"/>
    <w:rsid w:val="00051EBE"/>
    <w:rsid w:val="00063074"/>
    <w:rsid w:val="0007226E"/>
    <w:rsid w:val="000917BD"/>
    <w:rsid w:val="000B09C7"/>
    <w:rsid w:val="000C097B"/>
    <w:rsid w:val="000E269B"/>
    <w:rsid w:val="000F0D59"/>
    <w:rsid w:val="00106248"/>
    <w:rsid w:val="00107B9F"/>
    <w:rsid w:val="00111006"/>
    <w:rsid w:val="001161DA"/>
    <w:rsid w:val="0012574B"/>
    <w:rsid w:val="00126B9B"/>
    <w:rsid w:val="00135C20"/>
    <w:rsid w:val="00144093"/>
    <w:rsid w:val="001536FE"/>
    <w:rsid w:val="001605D0"/>
    <w:rsid w:val="0019043E"/>
    <w:rsid w:val="00190CEF"/>
    <w:rsid w:val="001B77CD"/>
    <w:rsid w:val="001B7BD1"/>
    <w:rsid w:val="001D35A2"/>
    <w:rsid w:val="001D5E6B"/>
    <w:rsid w:val="001E1956"/>
    <w:rsid w:val="001F4166"/>
    <w:rsid w:val="002008AD"/>
    <w:rsid w:val="002019BF"/>
    <w:rsid w:val="0023130D"/>
    <w:rsid w:val="002417BD"/>
    <w:rsid w:val="00242E30"/>
    <w:rsid w:val="00244C0E"/>
    <w:rsid w:val="00256B42"/>
    <w:rsid w:val="0027484B"/>
    <w:rsid w:val="002A52F2"/>
    <w:rsid w:val="002B79BD"/>
    <w:rsid w:val="002C25DC"/>
    <w:rsid w:val="002C3F35"/>
    <w:rsid w:val="002D5BF1"/>
    <w:rsid w:val="002E4189"/>
    <w:rsid w:val="002F42A3"/>
    <w:rsid w:val="00302BEE"/>
    <w:rsid w:val="003349A8"/>
    <w:rsid w:val="00356D32"/>
    <w:rsid w:val="00361DF4"/>
    <w:rsid w:val="00371650"/>
    <w:rsid w:val="00377F2C"/>
    <w:rsid w:val="003B0EBB"/>
    <w:rsid w:val="003C18B5"/>
    <w:rsid w:val="003C5048"/>
    <w:rsid w:val="003F1C5E"/>
    <w:rsid w:val="0040017A"/>
    <w:rsid w:val="00405BE8"/>
    <w:rsid w:val="00410013"/>
    <w:rsid w:val="004158B4"/>
    <w:rsid w:val="00415A8B"/>
    <w:rsid w:val="00422341"/>
    <w:rsid w:val="004327AF"/>
    <w:rsid w:val="00443628"/>
    <w:rsid w:val="0045066C"/>
    <w:rsid w:val="004A0F0D"/>
    <w:rsid w:val="004A3C5B"/>
    <w:rsid w:val="004A67FF"/>
    <w:rsid w:val="004B1556"/>
    <w:rsid w:val="004B4802"/>
    <w:rsid w:val="004C6B5A"/>
    <w:rsid w:val="004D6238"/>
    <w:rsid w:val="004F5B86"/>
    <w:rsid w:val="00507389"/>
    <w:rsid w:val="005202A0"/>
    <w:rsid w:val="00545D80"/>
    <w:rsid w:val="00552F8F"/>
    <w:rsid w:val="0057023D"/>
    <w:rsid w:val="0057252D"/>
    <w:rsid w:val="00572A03"/>
    <w:rsid w:val="005746CB"/>
    <w:rsid w:val="005805F4"/>
    <w:rsid w:val="00594CF1"/>
    <w:rsid w:val="005A78CA"/>
    <w:rsid w:val="005B3189"/>
    <w:rsid w:val="005D6A92"/>
    <w:rsid w:val="005E6D4F"/>
    <w:rsid w:val="005F4BC7"/>
    <w:rsid w:val="005F6B3C"/>
    <w:rsid w:val="006018F7"/>
    <w:rsid w:val="00607706"/>
    <w:rsid w:val="00613604"/>
    <w:rsid w:val="006170AC"/>
    <w:rsid w:val="0064554E"/>
    <w:rsid w:val="00654A44"/>
    <w:rsid w:val="0065784C"/>
    <w:rsid w:val="00661D03"/>
    <w:rsid w:val="00663E3E"/>
    <w:rsid w:val="00677DC5"/>
    <w:rsid w:val="006A27B5"/>
    <w:rsid w:val="006A425E"/>
    <w:rsid w:val="006A615B"/>
    <w:rsid w:val="006A7370"/>
    <w:rsid w:val="006C0D58"/>
    <w:rsid w:val="00704637"/>
    <w:rsid w:val="00712F7C"/>
    <w:rsid w:val="00727AD1"/>
    <w:rsid w:val="00745230"/>
    <w:rsid w:val="00745442"/>
    <w:rsid w:val="00763B8E"/>
    <w:rsid w:val="00765420"/>
    <w:rsid w:val="00777C0E"/>
    <w:rsid w:val="00787DE8"/>
    <w:rsid w:val="007B1BE5"/>
    <w:rsid w:val="007C4C6D"/>
    <w:rsid w:val="007D06DD"/>
    <w:rsid w:val="007E2BC9"/>
    <w:rsid w:val="007E70B7"/>
    <w:rsid w:val="00817545"/>
    <w:rsid w:val="00820697"/>
    <w:rsid w:val="00821275"/>
    <w:rsid w:val="008222D1"/>
    <w:rsid w:val="00824D09"/>
    <w:rsid w:val="0083571D"/>
    <w:rsid w:val="00840D7A"/>
    <w:rsid w:val="008469B6"/>
    <w:rsid w:val="008815ED"/>
    <w:rsid w:val="00886D14"/>
    <w:rsid w:val="0089021D"/>
    <w:rsid w:val="008A37B0"/>
    <w:rsid w:val="008B0EA7"/>
    <w:rsid w:val="008D005D"/>
    <w:rsid w:val="008D629F"/>
    <w:rsid w:val="008F2A51"/>
    <w:rsid w:val="0091549F"/>
    <w:rsid w:val="0091723B"/>
    <w:rsid w:val="0093160E"/>
    <w:rsid w:val="009333FF"/>
    <w:rsid w:val="009344DD"/>
    <w:rsid w:val="0097553D"/>
    <w:rsid w:val="00985ACA"/>
    <w:rsid w:val="009A1E06"/>
    <w:rsid w:val="009A34A7"/>
    <w:rsid w:val="009A4AFF"/>
    <w:rsid w:val="009A5D74"/>
    <w:rsid w:val="00A03107"/>
    <w:rsid w:val="00A0331A"/>
    <w:rsid w:val="00A14270"/>
    <w:rsid w:val="00A331FB"/>
    <w:rsid w:val="00A341B9"/>
    <w:rsid w:val="00A56399"/>
    <w:rsid w:val="00A77CB9"/>
    <w:rsid w:val="00A92A19"/>
    <w:rsid w:val="00AF03E9"/>
    <w:rsid w:val="00AF4136"/>
    <w:rsid w:val="00B020B9"/>
    <w:rsid w:val="00B05254"/>
    <w:rsid w:val="00B3268D"/>
    <w:rsid w:val="00B54025"/>
    <w:rsid w:val="00B62765"/>
    <w:rsid w:val="00B65C01"/>
    <w:rsid w:val="00B70168"/>
    <w:rsid w:val="00B72584"/>
    <w:rsid w:val="00B86B60"/>
    <w:rsid w:val="00B8739F"/>
    <w:rsid w:val="00BB6688"/>
    <w:rsid w:val="00BC760F"/>
    <w:rsid w:val="00BD17BB"/>
    <w:rsid w:val="00BE582A"/>
    <w:rsid w:val="00BF5D09"/>
    <w:rsid w:val="00C122CB"/>
    <w:rsid w:val="00C731D6"/>
    <w:rsid w:val="00C741C6"/>
    <w:rsid w:val="00C84718"/>
    <w:rsid w:val="00CA1BB5"/>
    <w:rsid w:val="00CB42C8"/>
    <w:rsid w:val="00CC3BE6"/>
    <w:rsid w:val="00CD3F27"/>
    <w:rsid w:val="00CE69E6"/>
    <w:rsid w:val="00CF6B58"/>
    <w:rsid w:val="00D25FE4"/>
    <w:rsid w:val="00D455F7"/>
    <w:rsid w:val="00D54D41"/>
    <w:rsid w:val="00D615F9"/>
    <w:rsid w:val="00D66F34"/>
    <w:rsid w:val="00D7492D"/>
    <w:rsid w:val="00D754BD"/>
    <w:rsid w:val="00D77315"/>
    <w:rsid w:val="00D911E0"/>
    <w:rsid w:val="00D969ED"/>
    <w:rsid w:val="00DA3335"/>
    <w:rsid w:val="00DD18E8"/>
    <w:rsid w:val="00DD5536"/>
    <w:rsid w:val="00DE06FF"/>
    <w:rsid w:val="00DF6A15"/>
    <w:rsid w:val="00E0571A"/>
    <w:rsid w:val="00E17507"/>
    <w:rsid w:val="00E339F6"/>
    <w:rsid w:val="00E432AA"/>
    <w:rsid w:val="00E52D0D"/>
    <w:rsid w:val="00E603B3"/>
    <w:rsid w:val="00EA5690"/>
    <w:rsid w:val="00EC21DB"/>
    <w:rsid w:val="00ED0AFC"/>
    <w:rsid w:val="00F0745F"/>
    <w:rsid w:val="00F07E36"/>
    <w:rsid w:val="00F12DF7"/>
    <w:rsid w:val="00F26E23"/>
    <w:rsid w:val="00F2773E"/>
    <w:rsid w:val="00F40E5C"/>
    <w:rsid w:val="00F43AFC"/>
    <w:rsid w:val="00F55179"/>
    <w:rsid w:val="00F60FB0"/>
    <w:rsid w:val="00F813AE"/>
    <w:rsid w:val="00F87217"/>
    <w:rsid w:val="00FA4F2A"/>
    <w:rsid w:val="00FB09FD"/>
    <w:rsid w:val="00FC49E1"/>
    <w:rsid w:val="00FF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0705"/>
  <w15:chartTrackingRefBased/>
  <w15:docId w15:val="{24C351D7-D263-984A-BA26-AC738824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C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339F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339F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E339F6"/>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39F6"/>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339F6"/>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339F6"/>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339F6"/>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339F6"/>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339F6"/>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9F6"/>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rsid w:val="00E339F6"/>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E339F6"/>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E339F6"/>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E339F6"/>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E339F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339F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339F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339F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339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39F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339F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39F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339F6"/>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339F6"/>
    <w:rPr>
      <w:i/>
      <w:iCs/>
      <w:color w:val="404040" w:themeColor="text1" w:themeTint="BF"/>
      <w:lang w:val="en-US"/>
    </w:rPr>
  </w:style>
  <w:style w:type="paragraph" w:styleId="ListParagraph">
    <w:name w:val="List Paragraph"/>
    <w:aliases w:val="1.1.1_List Paragraph,ANNEX,Bullet paras,Bullets,List Paragraph (numbered (a)),List Paragraph 1.1.1,List Paragraph Char Char Char,List Paragraph1,List Paragraph2,List_Paragraph,Main numbered paragraph,Multilevel para_II,Normal 2,References"/>
    <w:basedOn w:val="Normal"/>
    <w:link w:val="ListParagraphChar"/>
    <w:uiPriority w:val="34"/>
    <w:qFormat/>
    <w:rsid w:val="00E339F6"/>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339F6"/>
    <w:rPr>
      <w:i/>
      <w:iCs/>
      <w:color w:val="0F4761" w:themeColor="accent1" w:themeShade="BF"/>
    </w:rPr>
  </w:style>
  <w:style w:type="paragraph" w:styleId="IntenseQuote">
    <w:name w:val="Intense Quote"/>
    <w:basedOn w:val="Normal"/>
    <w:next w:val="Normal"/>
    <w:link w:val="IntenseQuoteChar"/>
    <w:uiPriority w:val="30"/>
    <w:qFormat/>
    <w:rsid w:val="00E339F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339F6"/>
    <w:rPr>
      <w:i/>
      <w:iCs/>
      <w:color w:val="0F4761" w:themeColor="accent1" w:themeShade="BF"/>
      <w:lang w:val="en-US"/>
    </w:rPr>
  </w:style>
  <w:style w:type="character" w:styleId="IntenseReference">
    <w:name w:val="Intense Reference"/>
    <w:basedOn w:val="DefaultParagraphFont"/>
    <w:uiPriority w:val="32"/>
    <w:qFormat/>
    <w:rsid w:val="00E339F6"/>
    <w:rPr>
      <w:b/>
      <w:bCs/>
      <w:smallCaps/>
      <w:color w:val="0F4761" w:themeColor="accent1" w:themeShade="BF"/>
      <w:spacing w:val="5"/>
    </w:rPr>
  </w:style>
  <w:style w:type="paragraph" w:styleId="Revision">
    <w:name w:val="Revision"/>
    <w:hidden/>
    <w:uiPriority w:val="99"/>
    <w:semiHidden/>
    <w:rsid w:val="00552F8F"/>
  </w:style>
  <w:style w:type="character" w:customStyle="1" w:styleId="ListParagraphChar">
    <w:name w:val="List Paragraph Char"/>
    <w:aliases w:val="1.1.1_List Paragraph Char,ANNEX Char,Bullet paras Char,Bullets Char,List Paragraph (numbered (a)) Char,List Paragraph 1.1.1 Char,List Paragraph Char Char Char Char,List Paragraph1 Char,List Paragraph2 Char,List_Paragraph Char"/>
    <w:link w:val="ListParagraph"/>
    <w:uiPriority w:val="34"/>
    <w:qFormat/>
    <w:locked/>
    <w:rsid w:val="00B72584"/>
    <w:rPr>
      <w:lang w:val="en-US"/>
    </w:rPr>
  </w:style>
  <w:style w:type="paragraph" w:styleId="Caption">
    <w:name w:val="caption"/>
    <w:basedOn w:val="Normal"/>
    <w:next w:val="Normal"/>
    <w:uiPriority w:val="35"/>
    <w:unhideWhenUsed/>
    <w:qFormat/>
    <w:rsid w:val="00B72584"/>
    <w:pPr>
      <w:spacing w:after="200"/>
    </w:pPr>
    <w:rPr>
      <w:rFonts w:ascii="Calibri" w:eastAsia="Calibri" w:hAnsi="Calibri"/>
      <w:i/>
      <w:iCs/>
      <w:color w:val="44546A"/>
      <w:sz w:val="18"/>
      <w:szCs w:val="18"/>
    </w:rPr>
  </w:style>
  <w:style w:type="paragraph" w:styleId="NormalWeb">
    <w:name w:val="Normal (Web)"/>
    <w:basedOn w:val="Normal"/>
    <w:uiPriority w:val="99"/>
    <w:semiHidden/>
    <w:unhideWhenUsed/>
    <w:rsid w:val="00B65C01"/>
    <w:rPr>
      <w:rFonts w:eastAsiaTheme="minorHAnsi"/>
      <w:kern w:val="2"/>
      <w14:ligatures w14:val="standardContextual"/>
    </w:rPr>
  </w:style>
  <w:style w:type="numbering" w:customStyle="1" w:styleId="StyleAvecpuces11pt">
    <w:name w:val="Style Avec puces 11 pt"/>
    <w:basedOn w:val="NoList"/>
    <w:rsid w:val="005B3189"/>
    <w:pPr>
      <w:numPr>
        <w:numId w:val="30"/>
      </w:numPr>
    </w:pPr>
  </w:style>
  <w:style w:type="paragraph" w:customStyle="1" w:styleId="CarCarCharCharCarCarCarCarCharChar">
    <w:name w:val="Car Car Char Char Car Car Car Car Char Char"/>
    <w:basedOn w:val="Normal"/>
    <w:next w:val="Normal"/>
    <w:rsid w:val="005B3189"/>
    <w:pPr>
      <w:spacing w:after="160" w:line="240" w:lineRule="exact"/>
    </w:pPr>
    <w:rPr>
      <w:rFonts w:ascii="Tahoma" w:hAnsi="Tahoma"/>
      <w:szCs w:val="20"/>
    </w:rPr>
  </w:style>
  <w:style w:type="character" w:styleId="Hyperlink">
    <w:name w:val="Hyperlink"/>
    <w:uiPriority w:val="99"/>
    <w:unhideWhenUsed/>
    <w:rsid w:val="00CE69E6"/>
    <w:rPr>
      <w:color w:val="0000FF"/>
      <w:u w:val="single"/>
    </w:rPr>
  </w:style>
  <w:style w:type="paragraph" w:styleId="FootnoteText">
    <w:name w:val="footnote text"/>
    <w:aliases w:val="Car,FOOTNOTES,Footnote,Footnote Text Char Char Char Char Char,Footnote Text Char Char Char1 Char,Footnote Text Char Char1 Char1,Footnote Text Char1 Char Char Char1,Footnote Text Char1 Char1 Char,Footnote Text Char2 Char,f,fn,footnote text"/>
    <w:basedOn w:val="Normal"/>
    <w:link w:val="FootnoteTextChar"/>
    <w:unhideWhenUsed/>
    <w:qFormat/>
    <w:rsid w:val="00CE69E6"/>
    <w:pPr>
      <w:widowControl w:val="0"/>
      <w:autoSpaceDE w:val="0"/>
      <w:autoSpaceDN w:val="0"/>
      <w:adjustRightInd w:val="0"/>
    </w:pPr>
    <w:rPr>
      <w:rFonts w:ascii="Calibri" w:hAnsi="Calibri" w:cs="Arial"/>
      <w:color w:val="000000"/>
      <w:sz w:val="18"/>
      <w:szCs w:val="20"/>
    </w:rPr>
  </w:style>
  <w:style w:type="character" w:customStyle="1" w:styleId="FootnoteTextChar">
    <w:name w:val="Footnote Text Char"/>
    <w:aliases w:val="Car Char,FOOTNOTES Char,Footnote Char,Footnote Text Char Char Char Char Char Char,Footnote Text Char Char Char1 Char Char,Footnote Text Char Char1 Char1 Char,Footnote Text Char1 Char Char Char1 Char,Footnote Text Char1 Char1 Char Char"/>
    <w:basedOn w:val="DefaultParagraphFont"/>
    <w:link w:val="FootnoteText"/>
    <w:qFormat/>
    <w:rsid w:val="00CE69E6"/>
    <w:rPr>
      <w:rFonts w:ascii="Calibri" w:eastAsia="Times New Roman" w:hAnsi="Calibri" w:cs="Arial"/>
      <w:color w:val="000000"/>
      <w:kern w:val="0"/>
      <w:sz w:val="18"/>
      <w:szCs w:val="20"/>
      <w:lang w:val="en-US"/>
      <w14:ligatures w14:val="none"/>
    </w:rPr>
  </w:style>
  <w:style w:type="character" w:styleId="FootnoteReference">
    <w:name w:val="footnote reference"/>
    <w:aliases w:val=" BVI fnr, Car Car Car Car Car Car Car Car Char Car Car Char Car Car Car Char Car Char Char Char, Car Car Char Car Char Car Car Char Car Char Char,16 Point,BVI fnr,Footnote Reference Number,R,Ref,Superscript 6 Point,de nota al p,fr,ftr"/>
    <w:link w:val="BVIfnrCarattereCharCharCharCarattereCharCharCharCharCharChar1CharCharChar"/>
    <w:uiPriority w:val="99"/>
    <w:unhideWhenUsed/>
    <w:qFormat/>
    <w:rsid w:val="00CE69E6"/>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CE69E6"/>
    <w:pPr>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CarCarCharCharCarCarCarCarCharChar0">
    <w:name w:val="Car Car Char Char Car Car Car Car Char Char"/>
    <w:basedOn w:val="Normal"/>
    <w:next w:val="Normal"/>
    <w:rsid w:val="005805F4"/>
    <w:pPr>
      <w:spacing w:after="160" w:line="240" w:lineRule="exact"/>
    </w:pPr>
    <w:rPr>
      <w:rFonts w:ascii="Tahoma" w:hAnsi="Tahoma"/>
      <w:szCs w:val="20"/>
    </w:rPr>
  </w:style>
  <w:style w:type="character" w:styleId="CommentReference">
    <w:name w:val="annotation reference"/>
    <w:basedOn w:val="DefaultParagraphFont"/>
    <w:uiPriority w:val="99"/>
    <w:semiHidden/>
    <w:unhideWhenUsed/>
    <w:rsid w:val="003349A8"/>
    <w:rPr>
      <w:sz w:val="16"/>
      <w:szCs w:val="16"/>
    </w:rPr>
  </w:style>
  <w:style w:type="paragraph" w:styleId="CommentText">
    <w:name w:val="annotation text"/>
    <w:basedOn w:val="Normal"/>
    <w:link w:val="CommentTextChar"/>
    <w:uiPriority w:val="99"/>
    <w:unhideWhenUsed/>
    <w:rsid w:val="003349A8"/>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349A8"/>
    <w:rPr>
      <w:sz w:val="20"/>
      <w:szCs w:val="20"/>
      <w:lang w:val="en-US"/>
    </w:rPr>
  </w:style>
  <w:style w:type="paragraph" w:styleId="CommentSubject">
    <w:name w:val="annotation subject"/>
    <w:basedOn w:val="CommentText"/>
    <w:next w:val="CommentText"/>
    <w:link w:val="CommentSubjectChar"/>
    <w:uiPriority w:val="99"/>
    <w:semiHidden/>
    <w:unhideWhenUsed/>
    <w:rsid w:val="003349A8"/>
    <w:rPr>
      <w:b/>
      <w:bCs/>
    </w:rPr>
  </w:style>
  <w:style w:type="character" w:customStyle="1" w:styleId="CommentSubjectChar">
    <w:name w:val="Comment Subject Char"/>
    <w:basedOn w:val="CommentTextChar"/>
    <w:link w:val="CommentSubject"/>
    <w:uiPriority w:val="99"/>
    <w:semiHidden/>
    <w:rsid w:val="003349A8"/>
    <w:rPr>
      <w:b/>
      <w:bCs/>
      <w:sz w:val="20"/>
      <w:szCs w:val="20"/>
      <w:lang w:val="en-US"/>
    </w:rPr>
  </w:style>
  <w:style w:type="paragraph" w:customStyle="1" w:styleId="Normal0">
    <w:name w:val="Normal_0"/>
    <w:basedOn w:val="ListParagraph"/>
    <w:qFormat/>
    <w:rsid w:val="00607706"/>
    <w:pPr>
      <w:numPr>
        <w:numId w:val="43"/>
      </w:numPr>
      <w:jc w:val="both"/>
    </w:pPr>
    <w:rPr>
      <w:kern w:val="0"/>
      <w:sz w:val="20"/>
      <w:szCs w:val="22"/>
      <w14:ligatures w14:val="none"/>
    </w:rPr>
  </w:style>
  <w:style w:type="paragraph" w:customStyle="1" w:styleId="FNRefeCharChar">
    <w:name w:val="FNRefe Char Char"/>
    <w:aliases w:val="BVI fnr Car Car Car Car Char Char Char Char Char,BVI fnr Car Car Char Char Char,BVI fnr Char Char Char,BVI fnr Car Char Char Char,BVI fnr Char Char"/>
    <w:basedOn w:val="Normal"/>
    <w:uiPriority w:val="99"/>
    <w:rsid w:val="00607706"/>
    <w:pPr>
      <w:spacing w:after="160" w:line="240" w:lineRule="exact"/>
    </w:pPr>
    <w:rPr>
      <w:rFonts w:asciiTheme="minorHAnsi" w:eastAsiaTheme="minorHAnsi" w:hAnsiTheme="minorHAnsi" w:cstheme="minorBidi"/>
      <w:sz w:val="22"/>
      <w:szCs w:val="22"/>
      <w:vertAlign w:val="superscript"/>
    </w:rPr>
  </w:style>
  <w:style w:type="character" w:customStyle="1" w:styleId="cf01">
    <w:name w:val="cf01"/>
    <w:basedOn w:val="DefaultParagraphFont"/>
    <w:rsid w:val="002019BF"/>
    <w:rPr>
      <w:rFonts w:ascii="Segoe UI" w:hAnsi="Segoe UI" w:cs="Segoe UI" w:hint="default"/>
      <w:sz w:val="18"/>
      <w:szCs w:val="18"/>
    </w:rPr>
  </w:style>
  <w:style w:type="paragraph" w:customStyle="1" w:styleId="pf0">
    <w:name w:val="pf0"/>
    <w:basedOn w:val="Normal"/>
    <w:rsid w:val="001605D0"/>
    <w:pPr>
      <w:spacing w:before="100" w:beforeAutospacing="1" w:after="100" w:afterAutospacing="1"/>
      <w:ind w:left="720"/>
    </w:pPr>
  </w:style>
  <w:style w:type="character" w:styleId="UnresolvedMention">
    <w:name w:val="Unresolved Mention"/>
    <w:basedOn w:val="DefaultParagraphFont"/>
    <w:uiPriority w:val="99"/>
    <w:semiHidden/>
    <w:unhideWhenUsed/>
    <w:rsid w:val="00520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8417">
      <w:bodyDiv w:val="1"/>
      <w:marLeft w:val="0"/>
      <w:marRight w:val="0"/>
      <w:marTop w:val="0"/>
      <w:marBottom w:val="0"/>
      <w:divBdr>
        <w:top w:val="none" w:sz="0" w:space="0" w:color="auto"/>
        <w:left w:val="none" w:sz="0" w:space="0" w:color="auto"/>
        <w:bottom w:val="none" w:sz="0" w:space="0" w:color="auto"/>
        <w:right w:val="none" w:sz="0" w:space="0" w:color="auto"/>
      </w:divBdr>
    </w:div>
    <w:div w:id="354893341">
      <w:bodyDiv w:val="1"/>
      <w:marLeft w:val="0"/>
      <w:marRight w:val="0"/>
      <w:marTop w:val="0"/>
      <w:marBottom w:val="0"/>
      <w:divBdr>
        <w:top w:val="none" w:sz="0" w:space="0" w:color="auto"/>
        <w:left w:val="none" w:sz="0" w:space="0" w:color="auto"/>
        <w:bottom w:val="none" w:sz="0" w:space="0" w:color="auto"/>
        <w:right w:val="none" w:sz="0" w:space="0" w:color="auto"/>
      </w:divBdr>
    </w:div>
    <w:div w:id="368648519">
      <w:bodyDiv w:val="1"/>
      <w:marLeft w:val="0"/>
      <w:marRight w:val="0"/>
      <w:marTop w:val="0"/>
      <w:marBottom w:val="0"/>
      <w:divBdr>
        <w:top w:val="none" w:sz="0" w:space="0" w:color="auto"/>
        <w:left w:val="none" w:sz="0" w:space="0" w:color="auto"/>
        <w:bottom w:val="none" w:sz="0" w:space="0" w:color="auto"/>
        <w:right w:val="none" w:sz="0" w:space="0" w:color="auto"/>
      </w:divBdr>
    </w:div>
    <w:div w:id="378551580">
      <w:bodyDiv w:val="1"/>
      <w:marLeft w:val="0"/>
      <w:marRight w:val="0"/>
      <w:marTop w:val="0"/>
      <w:marBottom w:val="0"/>
      <w:divBdr>
        <w:top w:val="none" w:sz="0" w:space="0" w:color="auto"/>
        <w:left w:val="none" w:sz="0" w:space="0" w:color="auto"/>
        <w:bottom w:val="none" w:sz="0" w:space="0" w:color="auto"/>
        <w:right w:val="none" w:sz="0" w:space="0" w:color="auto"/>
      </w:divBdr>
    </w:div>
    <w:div w:id="430515418">
      <w:bodyDiv w:val="1"/>
      <w:marLeft w:val="0"/>
      <w:marRight w:val="0"/>
      <w:marTop w:val="0"/>
      <w:marBottom w:val="0"/>
      <w:divBdr>
        <w:top w:val="none" w:sz="0" w:space="0" w:color="auto"/>
        <w:left w:val="none" w:sz="0" w:space="0" w:color="auto"/>
        <w:bottom w:val="none" w:sz="0" w:space="0" w:color="auto"/>
        <w:right w:val="none" w:sz="0" w:space="0" w:color="auto"/>
      </w:divBdr>
    </w:div>
    <w:div w:id="450325407">
      <w:bodyDiv w:val="1"/>
      <w:marLeft w:val="0"/>
      <w:marRight w:val="0"/>
      <w:marTop w:val="0"/>
      <w:marBottom w:val="0"/>
      <w:divBdr>
        <w:top w:val="none" w:sz="0" w:space="0" w:color="auto"/>
        <w:left w:val="none" w:sz="0" w:space="0" w:color="auto"/>
        <w:bottom w:val="none" w:sz="0" w:space="0" w:color="auto"/>
        <w:right w:val="none" w:sz="0" w:space="0" w:color="auto"/>
      </w:divBdr>
    </w:div>
    <w:div w:id="639460713">
      <w:bodyDiv w:val="1"/>
      <w:marLeft w:val="0"/>
      <w:marRight w:val="0"/>
      <w:marTop w:val="0"/>
      <w:marBottom w:val="0"/>
      <w:divBdr>
        <w:top w:val="none" w:sz="0" w:space="0" w:color="auto"/>
        <w:left w:val="none" w:sz="0" w:space="0" w:color="auto"/>
        <w:bottom w:val="none" w:sz="0" w:space="0" w:color="auto"/>
        <w:right w:val="none" w:sz="0" w:space="0" w:color="auto"/>
      </w:divBdr>
    </w:div>
    <w:div w:id="973294763">
      <w:bodyDiv w:val="1"/>
      <w:marLeft w:val="0"/>
      <w:marRight w:val="0"/>
      <w:marTop w:val="0"/>
      <w:marBottom w:val="0"/>
      <w:divBdr>
        <w:top w:val="none" w:sz="0" w:space="0" w:color="auto"/>
        <w:left w:val="none" w:sz="0" w:space="0" w:color="auto"/>
        <w:bottom w:val="none" w:sz="0" w:space="0" w:color="auto"/>
        <w:right w:val="none" w:sz="0" w:space="0" w:color="auto"/>
      </w:divBdr>
    </w:div>
    <w:div w:id="1021589886">
      <w:bodyDiv w:val="1"/>
      <w:marLeft w:val="0"/>
      <w:marRight w:val="0"/>
      <w:marTop w:val="0"/>
      <w:marBottom w:val="0"/>
      <w:divBdr>
        <w:top w:val="none" w:sz="0" w:space="0" w:color="auto"/>
        <w:left w:val="none" w:sz="0" w:space="0" w:color="auto"/>
        <w:bottom w:val="none" w:sz="0" w:space="0" w:color="auto"/>
        <w:right w:val="none" w:sz="0" w:space="0" w:color="auto"/>
      </w:divBdr>
    </w:div>
    <w:div w:id="1067611536">
      <w:bodyDiv w:val="1"/>
      <w:marLeft w:val="0"/>
      <w:marRight w:val="0"/>
      <w:marTop w:val="0"/>
      <w:marBottom w:val="0"/>
      <w:divBdr>
        <w:top w:val="none" w:sz="0" w:space="0" w:color="auto"/>
        <w:left w:val="none" w:sz="0" w:space="0" w:color="auto"/>
        <w:bottom w:val="none" w:sz="0" w:space="0" w:color="auto"/>
        <w:right w:val="none" w:sz="0" w:space="0" w:color="auto"/>
      </w:divBdr>
    </w:div>
    <w:div w:id="1303119069">
      <w:bodyDiv w:val="1"/>
      <w:marLeft w:val="0"/>
      <w:marRight w:val="0"/>
      <w:marTop w:val="0"/>
      <w:marBottom w:val="0"/>
      <w:divBdr>
        <w:top w:val="none" w:sz="0" w:space="0" w:color="auto"/>
        <w:left w:val="none" w:sz="0" w:space="0" w:color="auto"/>
        <w:bottom w:val="none" w:sz="0" w:space="0" w:color="auto"/>
        <w:right w:val="none" w:sz="0" w:space="0" w:color="auto"/>
      </w:divBdr>
    </w:div>
    <w:div w:id="1750075726">
      <w:bodyDiv w:val="1"/>
      <w:marLeft w:val="0"/>
      <w:marRight w:val="0"/>
      <w:marTop w:val="0"/>
      <w:marBottom w:val="0"/>
      <w:divBdr>
        <w:top w:val="none" w:sz="0" w:space="0" w:color="auto"/>
        <w:left w:val="none" w:sz="0" w:space="0" w:color="auto"/>
        <w:bottom w:val="none" w:sz="0" w:space="0" w:color="auto"/>
        <w:right w:val="none" w:sz="0" w:space="0" w:color="auto"/>
      </w:divBdr>
    </w:div>
    <w:div w:id="1929197459">
      <w:bodyDiv w:val="1"/>
      <w:marLeft w:val="0"/>
      <w:marRight w:val="0"/>
      <w:marTop w:val="0"/>
      <w:marBottom w:val="0"/>
      <w:divBdr>
        <w:top w:val="none" w:sz="0" w:space="0" w:color="auto"/>
        <w:left w:val="none" w:sz="0" w:space="0" w:color="auto"/>
        <w:bottom w:val="none" w:sz="0" w:space="0" w:color="auto"/>
        <w:right w:val="none" w:sz="0" w:space="0" w:color="auto"/>
      </w:divBdr>
    </w:div>
    <w:div w:id="20677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oewr.gov.so/ova_doc/somalia-power-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0D68-217C-4B66-B490-6FC653F6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959EE-8D09-4EAB-8C53-0400764D0EC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F1BA3A7E-AB6A-4B86-B217-9E04CA5951E2}">
  <ds:schemaRefs>
    <ds:schemaRef ds:uri="http://schemas.microsoft.com/sharepoint/v3/contenttype/forms"/>
  </ds:schemaRefs>
</ds:datastoreItem>
</file>

<file path=customXml/itemProps4.xml><?xml version="1.0" encoding="utf-8"?>
<ds:datastoreItem xmlns:ds="http://schemas.openxmlformats.org/officeDocument/2006/customXml" ds:itemID="{F1F2EC84-11CB-4251-8A1C-7B17503C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5068</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Abdihamid Hassan</dc:creator>
  <cp:keywords/>
  <dc:description/>
  <cp:lastModifiedBy>Liban Ibrahim</cp:lastModifiedBy>
  <cp:revision>17</cp:revision>
  <dcterms:created xsi:type="dcterms:W3CDTF">2024-09-26T09:35:00Z</dcterms:created>
  <dcterms:modified xsi:type="dcterms:W3CDTF">2024-10-09T06:52:00Z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